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490F3">
      <w:pPr>
        <w:ind w:firstLine="880" w:firstLineChars="200"/>
        <w:jc w:val="center"/>
        <w:rPr>
          <w:rFonts w:hint="eastAsia" w:ascii="黑体" w:hAnsi="黑体" w:eastAsia="黑体" w:cs="方正小标宋简体"/>
          <w:sz w:val="44"/>
          <w:szCs w:val="44"/>
        </w:rPr>
      </w:pPr>
      <w:r>
        <w:rPr>
          <w:rFonts w:hint="eastAsia" w:ascii="黑体" w:hAnsi="黑体" w:eastAsia="黑体" w:cs="方正小标宋简体"/>
          <w:sz w:val="44"/>
          <w:szCs w:val="44"/>
        </w:rPr>
        <w:t>安江纪念园</w:t>
      </w:r>
      <w:r>
        <w:rPr>
          <w:rFonts w:hint="eastAsia" w:ascii="黑体" w:hAnsi="黑体" w:eastAsia="黑体" w:cs="方正小标宋简体"/>
          <w:sz w:val="44"/>
          <w:szCs w:val="44"/>
          <w:lang w:eastAsia="zh-CN"/>
        </w:rPr>
        <w:t>专项业务（</w:t>
      </w:r>
      <w:r>
        <w:rPr>
          <w:rFonts w:hint="eastAsia" w:ascii="黑体" w:hAnsi="黑体" w:eastAsia="黑体" w:cs="方正小标宋简体"/>
          <w:sz w:val="44"/>
          <w:szCs w:val="44"/>
        </w:rPr>
        <w:t>工作</w:t>
      </w:r>
      <w:r>
        <w:rPr>
          <w:rFonts w:hint="eastAsia" w:ascii="黑体" w:hAnsi="黑体" w:eastAsia="黑体" w:cs="方正小标宋简体"/>
          <w:sz w:val="44"/>
          <w:szCs w:val="44"/>
          <w:lang w:eastAsia="zh-CN"/>
        </w:rPr>
        <w:t>）</w:t>
      </w:r>
      <w:r>
        <w:rPr>
          <w:rFonts w:hint="eastAsia" w:ascii="黑体" w:hAnsi="黑体" w:eastAsia="黑体" w:cs="方正小标宋简体"/>
          <w:sz w:val="44"/>
          <w:szCs w:val="44"/>
        </w:rPr>
        <w:t>经费</w:t>
      </w:r>
    </w:p>
    <w:p w14:paraId="19D991B9">
      <w:pPr>
        <w:ind w:firstLine="880" w:firstLineChars="200"/>
        <w:jc w:val="center"/>
        <w:rPr>
          <w:rFonts w:hint="eastAsia" w:ascii="黑体" w:hAnsi="黑体" w:eastAsia="黑体" w:cs="方正小标宋简体"/>
          <w:sz w:val="44"/>
          <w:szCs w:val="44"/>
        </w:rPr>
      </w:pPr>
      <w:r>
        <w:rPr>
          <w:rFonts w:hint="eastAsia" w:ascii="黑体" w:hAnsi="黑体" w:eastAsia="黑体" w:cs="方正小标宋简体"/>
          <w:sz w:val="44"/>
          <w:szCs w:val="44"/>
        </w:rPr>
        <w:t>支出绩效自评报告</w:t>
      </w:r>
    </w:p>
    <w:p w14:paraId="4AB818B5"/>
    <w:p w14:paraId="1398C1EE">
      <w:pPr>
        <w:spacing w:line="600" w:lineRule="exact"/>
        <w:ind w:left="1360" w:hanging="720"/>
        <w:rPr>
          <w:rFonts w:ascii="Times New Roman" w:hAnsi="Times New Roman" w:eastAsia="黑体" w:cs="Times New Roman"/>
          <w:sz w:val="32"/>
          <w:szCs w:val="32"/>
        </w:rPr>
      </w:pPr>
      <w:r>
        <w:rPr>
          <w:rFonts w:hint="eastAsia" w:ascii="Times New Roman" w:hAnsi="Times New Roman" w:eastAsia="黑体" w:cs="Times New Roman"/>
          <w:sz w:val="32"/>
          <w:szCs w:val="32"/>
        </w:rPr>
        <w:t>一、项目基本情况</w:t>
      </w:r>
    </w:p>
    <w:p w14:paraId="665489B2">
      <w:pPr>
        <w:spacing w:line="620" w:lineRule="exact"/>
        <w:ind w:left="640"/>
        <w:rPr>
          <w:rFonts w:hint="eastAsia" w:ascii="黑体" w:hAnsi="黑体" w:eastAsia="黑体" w:cs="楷体"/>
          <w:b/>
          <w:bCs/>
          <w:sz w:val="32"/>
          <w:szCs w:val="32"/>
        </w:rPr>
      </w:pPr>
      <w:r>
        <w:rPr>
          <w:rFonts w:hint="eastAsia" w:ascii="黑体" w:hAnsi="黑体" w:eastAsia="黑体" w:cs="楷体"/>
          <w:b/>
          <w:bCs/>
          <w:sz w:val="32"/>
          <w:szCs w:val="32"/>
        </w:rPr>
        <w:t xml:space="preserve"> （一）项目概况</w:t>
      </w:r>
    </w:p>
    <w:p w14:paraId="42CEF74A">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1.项目决策背景</w:t>
      </w:r>
    </w:p>
    <w:p w14:paraId="54336162">
      <w:pPr>
        <w:ind w:firstLine="640" w:firstLineChars="200"/>
        <w:rPr>
          <w:rFonts w:hint="eastAsia" w:ascii="仿宋" w:hAnsi="仿宋" w:eastAsia="仿宋" w:cs="仿宋"/>
          <w:sz w:val="32"/>
          <w:szCs w:val="32"/>
        </w:rPr>
      </w:pPr>
      <w:r>
        <w:rPr>
          <w:rFonts w:hint="eastAsia" w:ascii="仿宋" w:hAnsi="仿宋" w:eastAsia="仿宋" w:cs="仿宋"/>
          <w:sz w:val="32"/>
          <w:szCs w:val="32"/>
        </w:rPr>
        <w:t>安江农校纪念园的前身是湖南省安江农业学校，是籼型杂交水稻发源地，造就了袁隆平、李必湖、邓华凤等一大批杂交水稻育种专家，培养了2万多名优秀农业技术人才，获得建国以来第一个国家特等发明奖等国家级奖,为纪念人类的这一伟大创新，2009年国务院特批增补安江农校纪念园为第六批国家重点文物保护单位。</w:t>
      </w:r>
    </w:p>
    <w:p w14:paraId="522BBFC5">
      <w:pPr>
        <w:ind w:firstLine="640" w:firstLineChars="200"/>
        <w:rPr>
          <w:rFonts w:hint="eastAsia" w:ascii="仿宋" w:hAnsi="仿宋" w:eastAsia="仿宋" w:cs="仿宋"/>
          <w:color w:val="FF0000"/>
          <w:sz w:val="32"/>
          <w:szCs w:val="32"/>
        </w:rPr>
      </w:pPr>
      <w:r>
        <w:rPr>
          <w:rFonts w:hint="eastAsia" w:ascii="仿宋" w:hAnsi="仿宋" w:eastAsia="仿宋" w:cs="仿宋"/>
          <w:sz w:val="32"/>
          <w:szCs w:val="32"/>
        </w:rPr>
        <w:t>安江农校纪念园是见证袁隆平及其科研团队从事杂交水稻研究、掀起世界“绿色</w:t>
      </w:r>
      <w:bookmarkStart w:id="3" w:name="_GoBack"/>
      <w:bookmarkEnd w:id="3"/>
      <w:r>
        <w:rPr>
          <w:rFonts w:hint="eastAsia" w:ascii="仿宋" w:hAnsi="仿宋" w:eastAsia="仿宋" w:cs="仿宋"/>
          <w:sz w:val="32"/>
          <w:szCs w:val="32"/>
        </w:rPr>
        <w:t>革命”辉煌历史的文物保护单位，是构建和谐社会、落实科学发展观的重要资源，是全社会宝贵的精神财富，是一处体现中华民族伟大创新精神的非常珍贵的文化遗产。</w:t>
      </w:r>
    </w:p>
    <w:p w14:paraId="49EA9E87">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2.项目主要内容</w:t>
      </w:r>
    </w:p>
    <w:p w14:paraId="1888F855">
      <w:pPr>
        <w:pStyle w:val="16"/>
        <w:numPr>
          <w:ilvl w:val="0"/>
          <w:numId w:val="1"/>
        </w:numPr>
        <w:ind w:firstLineChars="0"/>
        <w:rPr>
          <w:rFonts w:hint="eastAsia" w:ascii="仿宋" w:hAnsi="仿宋" w:eastAsia="仿宋" w:cs="仿宋"/>
          <w:sz w:val="32"/>
          <w:szCs w:val="32"/>
        </w:rPr>
      </w:pPr>
      <w:r>
        <w:rPr>
          <w:rFonts w:hint="eastAsia" w:ascii="仿宋" w:hAnsi="仿宋" w:eastAsia="仿宋" w:cs="仿宋"/>
          <w:sz w:val="32"/>
          <w:szCs w:val="32"/>
        </w:rPr>
        <w:t>保障园区水电、照明、保洁、保卫等项工作正常运转；日常工作正常进行；</w:t>
      </w:r>
    </w:p>
    <w:p w14:paraId="59AB81C2">
      <w:pPr>
        <w:numPr>
          <w:ilvl w:val="0"/>
          <w:numId w:val="1"/>
        </w:numPr>
        <w:ind w:firstLine="640" w:firstLineChars="200"/>
        <w:rPr>
          <w:rFonts w:hint="eastAsia" w:ascii="仿宋" w:hAnsi="仿宋" w:eastAsia="仿宋" w:cs="仿宋"/>
          <w:sz w:val="32"/>
          <w:szCs w:val="32"/>
        </w:rPr>
      </w:pPr>
      <w:r>
        <w:rPr>
          <w:rFonts w:hint="eastAsia" w:ascii="仿宋" w:hAnsi="仿宋" w:eastAsia="仿宋" w:cs="仿宋"/>
          <w:sz w:val="32"/>
          <w:szCs w:val="32"/>
        </w:rPr>
        <w:t>实现文保、旅游、教学、科研等设施设备的及时维护；园区环境的得到进一步改善，实现美化绿化；</w:t>
      </w:r>
    </w:p>
    <w:p w14:paraId="239DE81D">
      <w:pPr>
        <w:numPr>
          <w:ilvl w:val="0"/>
          <w:numId w:val="1"/>
        </w:numPr>
        <w:ind w:firstLine="640" w:firstLineChars="200"/>
        <w:rPr>
          <w:rFonts w:hint="eastAsia" w:ascii="仿宋" w:hAnsi="仿宋" w:eastAsia="仿宋" w:cs="仿宋"/>
          <w:sz w:val="32"/>
          <w:szCs w:val="32"/>
        </w:rPr>
      </w:pPr>
      <w:r>
        <w:rPr>
          <w:rFonts w:hint="eastAsia" w:ascii="仿宋" w:hAnsi="仿宋" w:eastAsia="仿宋" w:cs="仿宋"/>
          <w:sz w:val="32"/>
          <w:szCs w:val="32"/>
        </w:rPr>
        <w:t>接待游客20万人次以上，接待机关企事业单位团体、党团组织、大中院校来园开展活动50批次以上，举办科普、文化旅游、党群教育、爱国主义教育等主题活动3场以上，隆平精神得到进一步的传承和弘扬。</w:t>
      </w:r>
    </w:p>
    <w:p w14:paraId="5C299928">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3.项目组织管理机构</w:t>
      </w:r>
    </w:p>
    <w:p w14:paraId="79F76C34">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安江纪念园管理处</w:t>
      </w:r>
    </w:p>
    <w:p w14:paraId="5D01D992">
      <w:pPr>
        <w:spacing w:line="620" w:lineRule="exact"/>
        <w:ind w:firstLine="643" w:firstLineChars="200"/>
        <w:rPr>
          <w:rFonts w:hint="eastAsia" w:ascii="黑体" w:hAnsi="黑体" w:eastAsia="黑体" w:cs="Times New Roman"/>
          <w:b/>
          <w:bCs/>
          <w:sz w:val="32"/>
          <w:szCs w:val="32"/>
        </w:rPr>
      </w:pPr>
      <w:r>
        <w:rPr>
          <w:rFonts w:hint="eastAsia" w:ascii="黑体" w:hAnsi="黑体" w:eastAsia="黑体" w:cs="楷体"/>
          <w:b/>
          <w:bCs/>
          <w:sz w:val="32"/>
          <w:szCs w:val="32"/>
        </w:rPr>
        <w:t>（二）</w:t>
      </w:r>
      <w:r>
        <w:rPr>
          <w:rFonts w:hint="eastAsia" w:ascii="黑体" w:hAnsi="黑体" w:eastAsia="黑体" w:cs="Times New Roman"/>
          <w:b/>
          <w:bCs/>
          <w:sz w:val="32"/>
          <w:szCs w:val="32"/>
        </w:rPr>
        <w:t>预算资金使用管理情况</w:t>
      </w:r>
    </w:p>
    <w:p w14:paraId="5741ABAC">
      <w:pPr>
        <w:spacing w:line="620" w:lineRule="exact"/>
        <w:ind w:firstLine="640" w:firstLineChars="200"/>
        <w:rPr>
          <w:rFonts w:hint="eastAsia" w:ascii="仿宋" w:hAnsi="仿宋" w:eastAsia="仿宋" w:cs="楷体"/>
          <w:sz w:val="32"/>
          <w:szCs w:val="32"/>
        </w:rPr>
      </w:pPr>
      <w:r>
        <w:rPr>
          <w:rFonts w:hint="eastAsia" w:ascii="仿宋" w:hAnsi="仿宋" w:eastAsia="仿宋" w:cs="楷体"/>
          <w:sz w:val="32"/>
          <w:szCs w:val="32"/>
        </w:rPr>
        <w:t>1.</w:t>
      </w:r>
      <w:r>
        <w:rPr>
          <w:rFonts w:hint="eastAsia" w:ascii="仿宋" w:hAnsi="仿宋" w:eastAsia="仿宋" w:cs="Times New Roman"/>
          <w:sz w:val="32"/>
          <w:szCs w:val="32"/>
        </w:rPr>
        <w:t>预算资金安排及管理情况</w:t>
      </w:r>
    </w:p>
    <w:p w14:paraId="508483FC">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（1）资金来源及拨付流程</w:t>
      </w:r>
    </w:p>
    <w:p w14:paraId="7EE95501">
      <w:pPr>
        <w:ind w:firstLine="640" w:firstLineChars="200"/>
        <w:rPr>
          <w:rFonts w:hint="eastAsia" w:ascii="仿宋" w:hAnsi="仿宋" w:eastAsia="仿宋" w:cs="仿宋"/>
          <w:sz w:val="32"/>
          <w:szCs w:val="32"/>
        </w:rPr>
      </w:pPr>
      <w:r>
        <w:rPr>
          <w:rFonts w:hint="eastAsia" w:ascii="仿宋" w:hAnsi="仿宋" w:eastAsia="仿宋" w:cs="仿宋"/>
          <w:sz w:val="32"/>
          <w:szCs w:val="32"/>
        </w:rPr>
        <w:t>怀化市财政每年下拨专项资金45万元，用于文物建筑保护修缮、园区环境保护等日常维护工作经费。</w:t>
      </w:r>
    </w:p>
    <w:p w14:paraId="333B73AA">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（2）资金到位情况</w:t>
      </w:r>
    </w:p>
    <w:p w14:paraId="56E1446C">
      <w:pPr>
        <w:spacing w:line="620" w:lineRule="exact"/>
        <w:ind w:firstLine="640" w:firstLineChars="200"/>
        <w:rPr>
          <w:rFonts w:hint="eastAsia" w:ascii="仿宋" w:hAnsi="仿宋" w:eastAsia="仿宋"/>
          <w:sz w:val="32"/>
          <w:szCs w:val="32"/>
        </w:rPr>
      </w:pPr>
      <w:r>
        <w:rPr>
          <w:rFonts w:hint="eastAsia" w:ascii="仿宋" w:hAnsi="仿宋" w:eastAsia="仿宋"/>
          <w:sz w:val="32"/>
          <w:szCs w:val="32"/>
        </w:rPr>
        <w:t>怀化职业技术学院于2023年1月13日收到2023年度安江纪念园工作经费资金45万元指标，2023年实际到位资金45万元。</w:t>
      </w:r>
      <w:r>
        <w:rPr>
          <w:rFonts w:ascii="仿宋" w:hAnsi="仿宋" w:eastAsia="仿宋"/>
          <w:sz w:val="32"/>
          <w:szCs w:val="32"/>
        </w:rPr>
        <w:t xml:space="preserve"> </w:t>
      </w:r>
    </w:p>
    <w:p w14:paraId="26B72C35">
      <w:pPr>
        <w:pStyle w:val="16"/>
        <w:numPr>
          <w:ilvl w:val="0"/>
          <w:numId w:val="1"/>
        </w:numPr>
        <w:spacing w:line="620" w:lineRule="exact"/>
        <w:ind w:firstLineChars="0"/>
        <w:rPr>
          <w:rFonts w:hint="eastAsia" w:ascii="仿宋" w:hAnsi="仿宋" w:eastAsia="仿宋" w:cs="仿宋"/>
          <w:sz w:val="32"/>
          <w:szCs w:val="32"/>
        </w:rPr>
      </w:pPr>
      <w:r>
        <w:rPr>
          <w:rFonts w:hint="eastAsia" w:ascii="仿宋" w:hAnsi="仿宋" w:eastAsia="仿宋" w:cs="仿宋"/>
          <w:sz w:val="32"/>
          <w:szCs w:val="32"/>
        </w:rPr>
        <w:t>资金使用情况</w:t>
      </w:r>
    </w:p>
    <w:p w14:paraId="71330F3A">
      <w:pPr>
        <w:spacing w:line="620" w:lineRule="exact"/>
        <w:ind w:firstLine="640" w:firstLineChars="200"/>
        <w:rPr>
          <w:rFonts w:hint="eastAsia" w:ascii="仿宋" w:hAnsi="仿宋" w:eastAsia="仿宋"/>
          <w:sz w:val="32"/>
          <w:szCs w:val="32"/>
        </w:rPr>
      </w:pPr>
      <w:r>
        <w:rPr>
          <w:rFonts w:hint="eastAsia" w:ascii="仿宋" w:hAnsi="仿宋" w:eastAsia="仿宋"/>
          <w:sz w:val="32"/>
          <w:szCs w:val="32"/>
        </w:rPr>
        <w:t>截至2023年12月31日，项目资金已使用45万元，主要开支用于文物建筑修缮捡漏、园林绿化及请工劳务费用等。资金使用率达到100%。</w:t>
      </w:r>
    </w:p>
    <w:p w14:paraId="3073A4CB">
      <w:pPr>
        <w:pStyle w:val="16"/>
        <w:numPr>
          <w:ilvl w:val="0"/>
          <w:numId w:val="1"/>
        </w:numPr>
        <w:spacing w:line="620" w:lineRule="exact"/>
        <w:ind w:firstLineChars="0"/>
        <w:rPr>
          <w:rFonts w:hint="eastAsia" w:ascii="仿宋" w:hAnsi="仿宋" w:eastAsia="仿宋" w:cs="仿宋"/>
          <w:sz w:val="32"/>
          <w:szCs w:val="32"/>
        </w:rPr>
      </w:pPr>
      <w:r>
        <w:rPr>
          <w:rFonts w:hint="eastAsia" w:ascii="仿宋" w:hAnsi="仿宋" w:eastAsia="仿宋" w:cs="仿宋"/>
          <w:sz w:val="32"/>
          <w:szCs w:val="32"/>
        </w:rPr>
        <w:t>资金管理制度及执行情况</w:t>
      </w:r>
    </w:p>
    <w:p w14:paraId="59E28AA8">
      <w:pPr>
        <w:ind w:firstLine="320" w:firstLineChars="100"/>
        <w:rPr>
          <w:rFonts w:hint="eastAsia" w:ascii="仿宋" w:hAnsi="仿宋" w:eastAsia="仿宋" w:cs="仿宋"/>
          <w:sz w:val="32"/>
          <w:szCs w:val="32"/>
        </w:rPr>
      </w:pPr>
      <w:bookmarkStart w:id="0" w:name="_Hlk173829825"/>
      <w:r>
        <w:rPr>
          <w:rFonts w:hint="eastAsia" w:ascii="仿宋" w:hAnsi="仿宋" w:eastAsia="仿宋"/>
          <w:sz w:val="32"/>
          <w:szCs w:val="32"/>
        </w:rPr>
        <w:t>专项资金由怀化职业技术学院计划财务处负责资金管理拨付，安江纪念园</w:t>
      </w:r>
      <w:r>
        <w:rPr>
          <w:rFonts w:hint="eastAsia" w:ascii="仿宋" w:hAnsi="仿宋" w:eastAsia="仿宋" w:cs="仿宋"/>
          <w:sz w:val="32"/>
          <w:szCs w:val="32"/>
        </w:rPr>
        <w:t>管理处</w:t>
      </w:r>
      <w:r>
        <w:rPr>
          <w:rFonts w:hint="eastAsia" w:ascii="仿宋" w:hAnsi="仿宋" w:eastAsia="仿宋"/>
          <w:sz w:val="32"/>
          <w:szCs w:val="32"/>
        </w:rPr>
        <w:t>遵照相关财经制度执行。</w:t>
      </w:r>
      <w:r>
        <w:rPr>
          <w:rFonts w:hint="eastAsia" w:ascii="仿宋" w:hAnsi="仿宋" w:eastAsia="仿宋"/>
          <w:sz w:val="28"/>
          <w:szCs w:val="28"/>
        </w:rPr>
        <w:t xml:space="preserve"> </w:t>
      </w:r>
    </w:p>
    <w:bookmarkEnd w:id="0"/>
    <w:p w14:paraId="7F89783D">
      <w:pPr>
        <w:spacing w:line="620" w:lineRule="exact"/>
        <w:rPr>
          <w:rFonts w:hint="eastAsia" w:ascii="仿宋" w:hAnsi="仿宋" w:eastAsia="仿宋" w:cs="仿宋"/>
          <w:sz w:val="32"/>
          <w:szCs w:val="32"/>
        </w:rPr>
      </w:pPr>
    </w:p>
    <w:p w14:paraId="141CFBDB">
      <w:pPr>
        <w:spacing w:line="620" w:lineRule="exact"/>
        <w:ind w:firstLine="640" w:firstLineChars="200"/>
        <w:rPr>
          <w:rFonts w:hint="eastAsia" w:ascii="仿宋" w:hAnsi="仿宋" w:eastAsia="仿宋" w:cs="楷体"/>
          <w:sz w:val="32"/>
          <w:szCs w:val="32"/>
        </w:rPr>
      </w:pPr>
      <w:r>
        <w:rPr>
          <w:rFonts w:hint="eastAsia" w:ascii="仿宋" w:hAnsi="仿宋" w:eastAsia="仿宋" w:cs="楷体"/>
          <w:sz w:val="32"/>
          <w:szCs w:val="32"/>
        </w:rPr>
        <w:t>2.项目组织实施管理情况</w:t>
      </w:r>
    </w:p>
    <w:p w14:paraId="127EA041">
      <w:pPr>
        <w:spacing w:line="620" w:lineRule="exact"/>
        <w:ind w:firstLine="640" w:firstLineChars="200"/>
        <w:rPr>
          <w:rFonts w:hint="eastAsia" w:ascii="仿宋" w:hAnsi="仿宋" w:eastAsia="仿宋" w:cs="黑体"/>
          <w:sz w:val="32"/>
          <w:szCs w:val="32"/>
        </w:rPr>
      </w:pPr>
      <w:bookmarkStart w:id="1" w:name="_Hlk173829957"/>
      <w:r>
        <w:rPr>
          <w:rFonts w:hint="eastAsia" w:ascii="仿宋" w:hAnsi="仿宋" w:eastAsia="仿宋" w:cs="黑体"/>
          <w:sz w:val="32"/>
          <w:szCs w:val="32"/>
        </w:rPr>
        <w:t>经费按照怀化市财政局专项资金管理办法结合怀化职业技术学院财务管理办法之规定，严格专项资金专项使用，在资金使用、审批、报账流程严格把关，让专项资金真正用到实处。</w:t>
      </w:r>
    </w:p>
    <w:bookmarkEnd w:id="1"/>
    <w:p w14:paraId="71476CE6">
      <w:pPr>
        <w:pStyle w:val="16"/>
        <w:spacing w:line="620" w:lineRule="exact"/>
        <w:ind w:left="420" w:firstLine="321" w:firstLineChars="100"/>
        <w:rPr>
          <w:rFonts w:hint="eastAsia" w:ascii="黑体" w:hAnsi="黑体" w:eastAsia="黑体" w:cs="Times New Roman"/>
          <w:b/>
          <w:bCs/>
          <w:sz w:val="32"/>
          <w:szCs w:val="32"/>
        </w:rPr>
      </w:pPr>
      <w:r>
        <w:rPr>
          <w:rFonts w:hint="eastAsia" w:ascii="黑体" w:hAnsi="黑体" w:eastAsia="黑体" w:cs="楷体"/>
          <w:b/>
          <w:bCs/>
          <w:sz w:val="32"/>
          <w:szCs w:val="32"/>
        </w:rPr>
        <w:t>（三）</w:t>
      </w:r>
      <w:r>
        <w:rPr>
          <w:rFonts w:hint="eastAsia" w:ascii="黑体" w:hAnsi="黑体" w:eastAsia="黑体" w:cs="Times New Roman"/>
          <w:b/>
          <w:bCs/>
          <w:sz w:val="32"/>
          <w:szCs w:val="32"/>
        </w:rPr>
        <w:t>预算绩效目标情况</w:t>
      </w:r>
    </w:p>
    <w:p w14:paraId="3D93A8CF">
      <w:pPr>
        <w:spacing w:line="620" w:lineRule="exact"/>
        <w:ind w:firstLine="420" w:firstLineChars="200"/>
        <w:rPr>
          <w:rFonts w:hint="eastAsia" w:ascii="楷体" w:hAnsi="楷体" w:eastAsia="楷体" w:cs="楷体"/>
          <w:sz w:val="32"/>
          <w:szCs w:val="32"/>
        </w:rPr>
      </w:pPr>
      <w:r>
        <w:rPr>
          <w:rFonts w:hint="eastAsia" w:ascii="Times New Roman" w:hAnsi="Times New Roman"/>
          <w:szCs w:val="32"/>
        </w:rPr>
        <w:t xml:space="preserve"> </w:t>
      </w:r>
      <w:r>
        <w:rPr>
          <w:rFonts w:hint="eastAsia" w:ascii="仿宋" w:hAnsi="仿宋" w:eastAsia="仿宋" w:cs="楷体"/>
          <w:sz w:val="32"/>
          <w:szCs w:val="32"/>
        </w:rPr>
        <w:t xml:space="preserve">   1.绩效目标</w:t>
      </w:r>
    </w:p>
    <w:p w14:paraId="472A0B25">
      <w:pPr>
        <w:numPr>
          <w:ilvl w:val="0"/>
          <w:numId w:val="2"/>
        </w:numPr>
        <w:ind w:firstLine="560"/>
        <w:rPr>
          <w:rFonts w:hint="eastAsia" w:ascii="仿宋" w:hAnsi="仿宋" w:eastAsia="仿宋" w:cs="黑体"/>
          <w:sz w:val="32"/>
          <w:szCs w:val="32"/>
        </w:rPr>
      </w:pPr>
      <w:r>
        <w:rPr>
          <w:rFonts w:hint="eastAsia" w:ascii="仿宋" w:hAnsi="仿宋" w:eastAsia="仿宋" w:cs="黑体"/>
          <w:sz w:val="32"/>
          <w:szCs w:val="32"/>
        </w:rPr>
        <w:t>保障园区水电、照明、保洁、保卫等各项工作正常运转；日常工作正常进行；</w:t>
      </w:r>
    </w:p>
    <w:p w14:paraId="32FA737E">
      <w:pPr>
        <w:numPr>
          <w:ilvl w:val="0"/>
          <w:numId w:val="2"/>
        </w:numPr>
        <w:ind w:firstLine="640" w:firstLineChars="200"/>
        <w:rPr>
          <w:rFonts w:hint="eastAsia" w:ascii="仿宋" w:hAnsi="仿宋" w:eastAsia="仿宋" w:cs="黑体"/>
          <w:sz w:val="32"/>
          <w:szCs w:val="32"/>
        </w:rPr>
      </w:pPr>
      <w:r>
        <w:rPr>
          <w:rFonts w:hint="eastAsia" w:ascii="仿宋" w:hAnsi="仿宋" w:eastAsia="仿宋" w:cs="黑体"/>
          <w:sz w:val="32"/>
          <w:szCs w:val="32"/>
        </w:rPr>
        <w:t>实现文保、旅游、教学、科研等设施设备的及时维护；园区环境得到进一步改善，实现美化绿化；</w:t>
      </w:r>
    </w:p>
    <w:p w14:paraId="662C28E7">
      <w:pPr>
        <w:numPr>
          <w:ilvl w:val="0"/>
          <w:numId w:val="2"/>
        </w:numPr>
        <w:ind w:firstLine="640" w:firstLineChars="200"/>
        <w:rPr>
          <w:rFonts w:hint="eastAsia" w:ascii="仿宋" w:hAnsi="仿宋" w:eastAsia="仿宋" w:cs="黑体"/>
          <w:sz w:val="32"/>
          <w:szCs w:val="32"/>
        </w:rPr>
      </w:pPr>
      <w:r>
        <w:rPr>
          <w:rFonts w:hint="eastAsia" w:ascii="仿宋" w:hAnsi="仿宋" w:eastAsia="仿宋" w:cs="黑体"/>
          <w:sz w:val="32"/>
          <w:szCs w:val="32"/>
        </w:rPr>
        <w:t>接待游客20万人次以上，接待机关企事业单位团体、党团组织、大中院校来园开展活动50批次以上，举办科普、文化旅游、党群教育、爱国主义教育等主题活动3场以上，隆平精神得到进一步的传承和弘扬。</w:t>
      </w:r>
    </w:p>
    <w:p w14:paraId="6F29ECE0">
      <w:pPr>
        <w:spacing w:line="620" w:lineRule="exact"/>
        <w:ind w:firstLine="640" w:firstLineChars="200"/>
        <w:rPr>
          <w:rFonts w:hint="eastAsia" w:ascii="仿宋" w:hAnsi="仿宋" w:eastAsia="仿宋" w:cs="楷体"/>
          <w:sz w:val="32"/>
          <w:szCs w:val="32"/>
        </w:rPr>
      </w:pPr>
      <w:r>
        <w:rPr>
          <w:rFonts w:hint="eastAsia" w:ascii="仿宋" w:hAnsi="仿宋" w:eastAsia="仿宋" w:cs="楷体"/>
          <w:sz w:val="32"/>
          <w:szCs w:val="32"/>
        </w:rPr>
        <w:t xml:space="preserve">  2.绩效指标</w:t>
      </w:r>
    </w:p>
    <w:p w14:paraId="2B890AB3">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（1）数量指标</w:t>
      </w:r>
    </w:p>
    <w:p w14:paraId="2EE592A0">
      <w:pPr>
        <w:pStyle w:val="16"/>
        <w:ind w:left="320" w:firstLine="640"/>
        <w:rPr>
          <w:rFonts w:hint="eastAsia" w:ascii="仿宋" w:hAnsi="仿宋" w:eastAsia="仿宋" w:cs="黑体"/>
          <w:sz w:val="32"/>
          <w:szCs w:val="32"/>
        </w:rPr>
      </w:pPr>
      <w:r>
        <w:rPr>
          <w:rFonts w:hint="eastAsia" w:ascii="仿宋" w:hAnsi="仿宋" w:eastAsia="仿宋" w:cs="黑体"/>
          <w:sz w:val="32"/>
          <w:szCs w:val="32"/>
        </w:rPr>
        <w:t>维修房屋栋数20处；屋顶防漏处</w:t>
      </w:r>
      <w:r>
        <w:rPr>
          <w:rFonts w:hint="eastAsia" w:ascii="仿宋" w:hAnsi="仿宋" w:eastAsia="仿宋" w:cs="黑体"/>
          <w:sz w:val="32"/>
          <w:szCs w:val="32"/>
        </w:rPr>
        <w:tab/>
      </w:r>
      <w:r>
        <w:rPr>
          <w:rFonts w:hint="eastAsia" w:ascii="仿宋" w:hAnsi="仿宋" w:eastAsia="仿宋" w:cs="黑体"/>
          <w:sz w:val="32"/>
          <w:szCs w:val="32"/>
        </w:rPr>
        <w:t>19处；接待游客人次20万人次；接待研学团队个数50个；爱国主义教育活动个数</w:t>
      </w:r>
      <w:r>
        <w:rPr>
          <w:rFonts w:hint="eastAsia" w:ascii="仿宋" w:hAnsi="仿宋" w:eastAsia="仿宋" w:cs="黑体"/>
          <w:sz w:val="32"/>
          <w:szCs w:val="32"/>
        </w:rPr>
        <w:tab/>
      </w:r>
      <w:r>
        <w:rPr>
          <w:rFonts w:hint="eastAsia" w:ascii="仿宋" w:hAnsi="仿宋" w:eastAsia="仿宋" w:cs="黑体"/>
          <w:sz w:val="32"/>
          <w:szCs w:val="32"/>
        </w:rPr>
        <w:t>3个。</w:t>
      </w:r>
    </w:p>
    <w:p w14:paraId="02490477">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（2）质量指标</w:t>
      </w:r>
    </w:p>
    <w:p w14:paraId="2E797FE2">
      <w:pPr>
        <w:spacing w:line="6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验收合格100%。</w:t>
      </w:r>
    </w:p>
    <w:p w14:paraId="40F58913">
      <w:pPr>
        <w:spacing w:line="620" w:lineRule="exact"/>
        <w:ind w:firstLine="640" w:firstLineChars="200"/>
        <w:jc w:val="left"/>
        <w:rPr>
          <w:rFonts w:hint="eastAsia" w:ascii="仿宋" w:hAnsi="仿宋" w:eastAsia="仿宋" w:cs="仿宋"/>
          <w:sz w:val="32"/>
          <w:szCs w:val="32"/>
        </w:rPr>
      </w:pPr>
      <w:r>
        <w:rPr>
          <w:rFonts w:hint="eastAsia" w:ascii="仿宋" w:hAnsi="仿宋" w:eastAsia="仿宋"/>
          <w:sz w:val="32"/>
          <w:szCs w:val="32"/>
          <w:highlight w:val="lightGray"/>
        </w:rPr>
        <w:t>（3）</w:t>
      </w:r>
      <w:r>
        <w:rPr>
          <w:rFonts w:hint="eastAsia" w:ascii="仿宋" w:hAnsi="仿宋" w:eastAsia="仿宋" w:cs="仿宋"/>
          <w:sz w:val="32"/>
          <w:szCs w:val="32"/>
        </w:rPr>
        <w:t>时效指标</w:t>
      </w:r>
    </w:p>
    <w:p w14:paraId="036D0C0E">
      <w:pPr>
        <w:spacing w:line="6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 xml:space="preserve">合同履约时间。 </w:t>
      </w:r>
    </w:p>
    <w:p w14:paraId="2200C22A">
      <w:pPr>
        <w:pStyle w:val="16"/>
        <w:numPr>
          <w:ilvl w:val="0"/>
          <w:numId w:val="2"/>
        </w:numPr>
        <w:spacing w:line="620" w:lineRule="exact"/>
        <w:ind w:firstLineChars="0"/>
        <w:rPr>
          <w:rFonts w:hint="eastAsia" w:ascii="仿宋" w:hAnsi="仿宋" w:eastAsia="仿宋" w:cs="仿宋"/>
          <w:sz w:val="32"/>
          <w:szCs w:val="32"/>
        </w:rPr>
      </w:pPr>
      <w:r>
        <w:rPr>
          <w:rFonts w:hint="eastAsia" w:ascii="仿宋" w:hAnsi="仿宋" w:eastAsia="仿宋" w:cs="仿宋"/>
          <w:sz w:val="32"/>
          <w:szCs w:val="32"/>
        </w:rPr>
        <w:t>成本指标</w:t>
      </w:r>
    </w:p>
    <w:p w14:paraId="2FF9FDD8">
      <w:pPr>
        <w:pStyle w:val="16"/>
        <w:spacing w:line="620" w:lineRule="exact"/>
        <w:ind w:left="420" w:firstLine="640"/>
        <w:rPr>
          <w:rFonts w:hint="eastAsia" w:ascii="仿宋" w:hAnsi="仿宋" w:eastAsia="仿宋" w:cs="仿宋"/>
          <w:sz w:val="32"/>
          <w:szCs w:val="32"/>
        </w:rPr>
      </w:pPr>
      <w:r>
        <w:rPr>
          <w:rFonts w:hint="eastAsia" w:ascii="仿宋" w:hAnsi="仿宋" w:eastAsia="仿宋" w:cs="仿宋"/>
          <w:sz w:val="32"/>
          <w:szCs w:val="32"/>
        </w:rPr>
        <w:t>合同约定金额。</w:t>
      </w:r>
    </w:p>
    <w:p w14:paraId="79E2DB0E">
      <w:pPr>
        <w:rPr>
          <w:rFonts w:hint="eastAsia" w:ascii="黑体" w:hAnsi="黑体" w:eastAsia="黑体"/>
          <w:b/>
          <w:bCs/>
          <w:sz w:val="32"/>
          <w:szCs w:val="32"/>
        </w:rPr>
      </w:pPr>
      <w:r>
        <w:rPr>
          <w:rFonts w:hint="eastAsia" w:ascii="黑体" w:hAnsi="黑体" w:eastAsia="黑体"/>
          <w:b/>
          <w:bCs/>
          <w:sz w:val="32"/>
          <w:szCs w:val="32"/>
        </w:rPr>
        <w:t>二、绩效评价工作情况</w:t>
      </w:r>
    </w:p>
    <w:p w14:paraId="19883F94">
      <w:pPr>
        <w:pStyle w:val="17"/>
        <w:ind w:firstLine="643"/>
        <w:rPr>
          <w:rFonts w:hint="eastAsia" w:ascii="黑体" w:hAnsi="黑体" w:eastAsia="黑体" w:cs="宋体"/>
          <w:b/>
          <w:bCs/>
        </w:rPr>
      </w:pPr>
      <w:r>
        <w:rPr>
          <w:rFonts w:hint="eastAsia" w:ascii="黑体" w:hAnsi="黑体" w:eastAsia="黑体" w:cs="宋体"/>
          <w:b/>
          <w:bCs/>
        </w:rPr>
        <w:t>（一）绩效评价目的</w:t>
      </w:r>
    </w:p>
    <w:p w14:paraId="1AFBE0F1">
      <w:pPr>
        <w:pStyle w:val="17"/>
        <w:ind w:firstLine="640"/>
        <w:rPr>
          <w:rFonts w:hint="eastAsia" w:ascii="仿宋" w:hAnsi="仿宋" w:eastAsia="仿宋" w:cs="仿宋"/>
          <w:kern w:val="2"/>
          <w:szCs w:val="32"/>
        </w:rPr>
      </w:pPr>
      <w:r>
        <w:rPr>
          <w:rFonts w:hint="eastAsia" w:ascii="仿宋" w:hAnsi="仿宋" w:eastAsia="仿宋" w:cs="仿宋"/>
          <w:kern w:val="2"/>
          <w:szCs w:val="32"/>
        </w:rPr>
        <w:t>考核资金支出效率及综合效果，及时总结经验，分析存在的问题和原因，切实采取有效措施进一步改进和加强财政资金管理，不断提高资金使用效率，为后续财政资金预算及使用提供依据。通过绩效评价，树立绩效管理理念，做好预算绩效管理，提高财政资金效益，优化财政支出结构。</w:t>
      </w:r>
    </w:p>
    <w:p w14:paraId="7CD5BAF8">
      <w:pPr>
        <w:pStyle w:val="17"/>
        <w:ind w:firstLine="643"/>
        <w:rPr>
          <w:rFonts w:hint="eastAsia" w:ascii="黑体" w:hAnsi="黑体" w:eastAsia="黑体" w:cs="宋体"/>
          <w:b/>
          <w:bCs/>
        </w:rPr>
      </w:pPr>
      <w:r>
        <w:rPr>
          <w:rFonts w:hint="eastAsia" w:ascii="黑体" w:hAnsi="黑体" w:eastAsia="黑体" w:cs="宋体"/>
          <w:b/>
          <w:bCs/>
        </w:rPr>
        <w:t>（二）被评价单位、绩效评价范围与时段</w:t>
      </w:r>
    </w:p>
    <w:p w14:paraId="2E72A42C">
      <w:pPr>
        <w:widowControl/>
        <w:shd w:val="clear" w:color="auto" w:fill="FFFFFF"/>
        <w:ind w:firstLine="600"/>
        <w:rPr>
          <w:rFonts w:hint="eastAsia" w:ascii="仿宋" w:hAnsi="仿宋" w:eastAsia="仿宋" w:cs="仿宋"/>
          <w:sz w:val="32"/>
          <w:szCs w:val="32"/>
        </w:rPr>
      </w:pPr>
      <w:r>
        <w:rPr>
          <w:rFonts w:hint="eastAsia" w:ascii="仿宋" w:hAnsi="仿宋" w:eastAsia="仿宋" w:cs="仿宋"/>
          <w:sz w:val="32"/>
          <w:szCs w:val="32"/>
        </w:rPr>
        <w:t>被评价单位为安江纪念园管理处；</w:t>
      </w:r>
    </w:p>
    <w:p w14:paraId="7F10EAFF">
      <w:pPr>
        <w:widowControl/>
        <w:shd w:val="clear" w:color="auto" w:fill="FFFFFF"/>
        <w:ind w:firstLine="600"/>
        <w:rPr>
          <w:rFonts w:hint="eastAsia" w:ascii="仿宋" w:hAnsi="仿宋" w:eastAsia="仿宋" w:cs="仿宋"/>
          <w:sz w:val="32"/>
          <w:szCs w:val="32"/>
        </w:rPr>
      </w:pPr>
      <w:r>
        <w:rPr>
          <w:rFonts w:hint="eastAsia" w:ascii="仿宋" w:hAnsi="仿宋" w:eastAsia="仿宋" w:cs="仿宋"/>
          <w:sz w:val="32"/>
          <w:szCs w:val="32"/>
        </w:rPr>
        <w:t>绩效评价范围与时段：</w:t>
      </w:r>
      <w:r>
        <w:rPr>
          <w:rFonts w:ascii="仿宋" w:hAnsi="仿宋" w:eastAsia="仿宋" w:cs="仿宋"/>
          <w:sz w:val="32"/>
          <w:szCs w:val="32"/>
        </w:rPr>
        <w:t>202</w:t>
      </w:r>
      <w:r>
        <w:rPr>
          <w:rFonts w:hint="eastAsia" w:ascii="仿宋" w:hAnsi="仿宋" w:eastAsia="仿宋" w:cs="仿宋"/>
          <w:sz w:val="32"/>
          <w:szCs w:val="32"/>
        </w:rPr>
        <w:t>3年安江农校纪念园工作经费45万元，项目各项计划指标完成情况和年度资金使用情况。</w:t>
      </w:r>
    </w:p>
    <w:p w14:paraId="68C41D6E">
      <w:pPr>
        <w:pStyle w:val="17"/>
        <w:ind w:firstLine="643"/>
        <w:rPr>
          <w:rFonts w:hint="eastAsia" w:ascii="黑体" w:hAnsi="黑体" w:eastAsia="黑体" w:cs="宋体"/>
          <w:b/>
          <w:bCs/>
        </w:rPr>
      </w:pPr>
      <w:r>
        <w:rPr>
          <w:rFonts w:hint="eastAsia" w:ascii="黑体" w:hAnsi="黑体" w:eastAsia="黑体" w:cs="宋体"/>
          <w:b/>
          <w:bCs/>
        </w:rPr>
        <w:t>（三）绩效评价原则、评价指标体系、评价方法</w:t>
      </w:r>
    </w:p>
    <w:p w14:paraId="46A9FFFE">
      <w:pPr>
        <w:pStyle w:val="2"/>
        <w:shd w:val="clear" w:color="auto" w:fill="FFFFFF"/>
        <w:spacing w:before="0" w:beforeAutospacing="0" w:after="0" w:afterAutospacing="0"/>
        <w:ind w:firstLine="643"/>
        <w:rPr>
          <w:rFonts w:hint="eastAsia" w:ascii="仿宋" w:hAnsi="仿宋" w:eastAsia="仿宋"/>
          <w:b w:val="0"/>
          <w:bCs w:val="0"/>
          <w:color w:val="333333"/>
          <w:sz w:val="32"/>
          <w:szCs w:val="32"/>
        </w:rPr>
      </w:pPr>
      <w:r>
        <w:rPr>
          <w:rFonts w:hint="eastAsia" w:ascii="仿宋" w:hAnsi="仿宋" w:eastAsia="仿宋"/>
          <w:b w:val="0"/>
          <w:bCs w:val="0"/>
          <w:sz w:val="32"/>
          <w:szCs w:val="32"/>
        </w:rPr>
        <w:t>1、</w:t>
      </w:r>
      <w:r>
        <w:rPr>
          <w:rFonts w:hint="eastAsia" w:ascii="仿宋" w:hAnsi="仿宋" w:eastAsia="仿宋"/>
          <w:b w:val="0"/>
          <w:bCs w:val="0"/>
          <w:color w:val="333333"/>
          <w:sz w:val="32"/>
          <w:szCs w:val="32"/>
        </w:rPr>
        <w:t>绩效评价原则</w:t>
      </w:r>
    </w:p>
    <w:p w14:paraId="02CE96DB">
      <w:pPr>
        <w:widowControl/>
        <w:shd w:val="clear" w:color="auto" w:fill="FFFFFF"/>
        <w:ind w:firstLine="600"/>
        <w:rPr>
          <w:rFonts w:ascii="Times New Roman" w:hAnsi="Times New Roman" w:cs="Times New Roman"/>
          <w:color w:val="333333"/>
          <w:kern w:val="0"/>
          <w:sz w:val="32"/>
          <w:szCs w:val="32"/>
        </w:rPr>
      </w:pPr>
      <w:r>
        <w:rPr>
          <w:rFonts w:hint="eastAsia" w:ascii="仿宋" w:hAnsi="仿宋" w:eastAsia="仿宋" w:cs="Times New Roman"/>
          <w:color w:val="333333"/>
          <w:kern w:val="0"/>
          <w:sz w:val="32"/>
          <w:szCs w:val="32"/>
        </w:rPr>
        <w:t>（</w:t>
      </w:r>
      <w:r>
        <w:rPr>
          <w:rFonts w:ascii="Times New Roman" w:hAnsi="Times New Roman" w:cs="Times New Roman"/>
          <w:color w:val="333333"/>
          <w:kern w:val="0"/>
          <w:sz w:val="32"/>
          <w:szCs w:val="32"/>
        </w:rPr>
        <w:t>1</w:t>
      </w:r>
      <w:r>
        <w:rPr>
          <w:rFonts w:hint="eastAsia" w:ascii="仿宋" w:hAnsi="仿宋" w:eastAsia="仿宋" w:cs="Times New Roman"/>
          <w:color w:val="333333"/>
          <w:kern w:val="0"/>
          <w:sz w:val="32"/>
          <w:szCs w:val="32"/>
        </w:rPr>
        <w:t>）科学规范原则。绩效评价应当严格执行规定的程序，按照科学可行的要求，采用定量与定性分析相结合的方法。</w:t>
      </w:r>
    </w:p>
    <w:p w14:paraId="4A7E1265">
      <w:pPr>
        <w:widowControl/>
        <w:shd w:val="clear" w:color="auto" w:fill="FFFFFF"/>
        <w:ind w:firstLine="600"/>
        <w:rPr>
          <w:rFonts w:ascii="Times New Roman" w:hAnsi="Times New Roman" w:cs="Times New Roman"/>
          <w:color w:val="333333"/>
          <w:kern w:val="0"/>
          <w:sz w:val="32"/>
          <w:szCs w:val="32"/>
        </w:rPr>
      </w:pPr>
      <w:r>
        <w:rPr>
          <w:rFonts w:hint="eastAsia" w:ascii="仿宋" w:hAnsi="仿宋" w:eastAsia="仿宋" w:cs="Times New Roman"/>
          <w:color w:val="333333"/>
          <w:kern w:val="0"/>
          <w:sz w:val="32"/>
          <w:szCs w:val="32"/>
        </w:rPr>
        <w:t>（</w:t>
      </w:r>
      <w:r>
        <w:rPr>
          <w:rFonts w:ascii="Times New Roman" w:hAnsi="Times New Roman" w:cs="Times New Roman"/>
          <w:color w:val="333333"/>
          <w:kern w:val="0"/>
          <w:sz w:val="32"/>
          <w:szCs w:val="32"/>
        </w:rPr>
        <w:t>2</w:t>
      </w:r>
      <w:r>
        <w:rPr>
          <w:rFonts w:hint="eastAsia" w:ascii="仿宋" w:hAnsi="仿宋" w:eastAsia="仿宋" w:cs="Times New Roman"/>
          <w:color w:val="333333"/>
          <w:kern w:val="0"/>
          <w:sz w:val="32"/>
          <w:szCs w:val="32"/>
        </w:rPr>
        <w:t>）公正公开原则。绩效评价应当符合真实、客观、公正的要求，依法公开并接受监督。</w:t>
      </w:r>
    </w:p>
    <w:p w14:paraId="6194876E">
      <w:pPr>
        <w:widowControl/>
        <w:shd w:val="clear" w:color="auto" w:fill="FFFFFF"/>
        <w:ind w:firstLine="600"/>
        <w:rPr>
          <w:rFonts w:ascii="Times New Roman" w:hAnsi="Times New Roman" w:cs="Times New Roman"/>
          <w:color w:val="333333"/>
          <w:kern w:val="0"/>
          <w:sz w:val="32"/>
          <w:szCs w:val="32"/>
        </w:rPr>
      </w:pPr>
      <w:r>
        <w:rPr>
          <w:rFonts w:hint="eastAsia" w:ascii="仿宋" w:hAnsi="仿宋" w:eastAsia="仿宋" w:cs="Times New Roman"/>
          <w:color w:val="333333"/>
          <w:kern w:val="0"/>
          <w:sz w:val="32"/>
          <w:szCs w:val="32"/>
        </w:rPr>
        <w:t>（</w:t>
      </w:r>
      <w:r>
        <w:rPr>
          <w:rFonts w:ascii="Times New Roman" w:hAnsi="Times New Roman" w:cs="Times New Roman"/>
          <w:color w:val="333333"/>
          <w:kern w:val="0"/>
          <w:sz w:val="32"/>
          <w:szCs w:val="32"/>
        </w:rPr>
        <w:t>3</w:t>
      </w:r>
      <w:r>
        <w:rPr>
          <w:rFonts w:hint="eastAsia" w:ascii="仿宋" w:hAnsi="仿宋" w:eastAsia="仿宋" w:cs="Times New Roman"/>
          <w:color w:val="333333"/>
          <w:kern w:val="0"/>
          <w:sz w:val="32"/>
          <w:szCs w:val="32"/>
        </w:rPr>
        <w:t>）绩效相关原则。绩效评价应当针对具体支出及其产出绩效进行，评价结果应当清晰反映支出和产出绩效之间的紧密对应关系。</w:t>
      </w:r>
    </w:p>
    <w:p w14:paraId="1A1C7688">
      <w:pPr>
        <w:pStyle w:val="2"/>
        <w:shd w:val="clear" w:color="auto" w:fill="FFFFFF"/>
        <w:spacing w:before="0" w:beforeAutospacing="0" w:after="0" w:afterAutospacing="0"/>
        <w:ind w:firstLine="643"/>
        <w:rPr>
          <w:rFonts w:hint="eastAsia" w:ascii="仿宋" w:hAnsi="仿宋" w:eastAsia="仿宋"/>
          <w:b w:val="0"/>
          <w:bCs w:val="0"/>
          <w:sz w:val="32"/>
          <w:szCs w:val="32"/>
        </w:rPr>
      </w:pPr>
      <w:r>
        <w:rPr>
          <w:rFonts w:hint="eastAsia" w:ascii="仿宋" w:hAnsi="仿宋" w:eastAsia="仿宋"/>
          <w:b w:val="0"/>
          <w:bCs w:val="0"/>
          <w:sz w:val="32"/>
          <w:szCs w:val="32"/>
        </w:rPr>
        <w:t>2、绩效评价指标体系</w:t>
      </w:r>
    </w:p>
    <w:p w14:paraId="50FC04A4">
      <w:pPr>
        <w:widowControl/>
        <w:shd w:val="clear" w:color="auto" w:fill="FFFFFF"/>
        <w:ind w:firstLine="640"/>
        <w:rPr>
          <w:rFonts w:hint="eastAsia" w:ascii="仿宋" w:hAnsi="仿宋" w:eastAsia="仿宋" w:cs="Times New Roman"/>
          <w:color w:val="333333"/>
          <w:kern w:val="0"/>
          <w:sz w:val="32"/>
          <w:szCs w:val="32"/>
        </w:rPr>
      </w:pPr>
      <w:r>
        <w:rPr>
          <w:rFonts w:hint="eastAsia" w:ascii="仿宋" w:hAnsi="仿宋" w:eastAsia="仿宋" w:cs="Times New Roman"/>
          <w:color w:val="333333"/>
          <w:kern w:val="0"/>
          <w:sz w:val="32"/>
          <w:szCs w:val="32"/>
        </w:rPr>
        <w:t>评价指标体系根据绩效评价的基本原理、原则和项目特点，结合《项目支出绩效评价管理办法》、</w:t>
      </w:r>
      <w:r>
        <w:rPr>
          <w:rFonts w:ascii="仿宋" w:hAnsi="仿宋" w:eastAsia="仿宋" w:cs="Times New Roman"/>
          <w:color w:val="333333"/>
          <w:kern w:val="0"/>
          <w:sz w:val="32"/>
          <w:szCs w:val="32"/>
        </w:rPr>
        <w:t>《湖南省预算支出绩效评价管理办法》</w:t>
      </w:r>
      <w:r>
        <w:rPr>
          <w:rFonts w:hint="eastAsia" w:ascii="仿宋" w:hAnsi="仿宋" w:eastAsia="仿宋" w:cs="Times New Roman"/>
          <w:color w:val="333333"/>
          <w:kern w:val="0"/>
          <w:sz w:val="32"/>
          <w:szCs w:val="32"/>
        </w:rPr>
        <w:t>、安江纪念园工作职责等有关要求设置，本次绩效评价指标体系分别从预算执行率、产出指标、效益指标、满意度指标等多个方面对其财政支出进行评价，详见附件1：</w:t>
      </w:r>
    </w:p>
    <w:p w14:paraId="6F4ADB1F">
      <w:pPr>
        <w:pStyle w:val="2"/>
        <w:shd w:val="clear" w:color="auto" w:fill="FFFFFF"/>
        <w:spacing w:before="0" w:beforeAutospacing="0" w:after="0" w:afterAutospacing="0"/>
        <w:ind w:firstLine="643"/>
        <w:rPr>
          <w:rFonts w:hint="eastAsia" w:ascii="仿宋" w:hAnsi="仿宋" w:eastAsia="仿宋"/>
          <w:b w:val="0"/>
          <w:bCs w:val="0"/>
          <w:sz w:val="32"/>
          <w:szCs w:val="32"/>
        </w:rPr>
      </w:pPr>
      <w:r>
        <w:rPr>
          <w:rFonts w:hint="eastAsia" w:ascii="仿宋" w:hAnsi="仿宋" w:eastAsia="仿宋"/>
          <w:b w:val="0"/>
          <w:bCs w:val="0"/>
          <w:sz w:val="32"/>
          <w:szCs w:val="32"/>
        </w:rPr>
        <w:t>3、评价方法</w:t>
      </w:r>
    </w:p>
    <w:p w14:paraId="25C52269">
      <w:pPr>
        <w:widowControl/>
        <w:shd w:val="clear" w:color="auto" w:fill="FFFFFF"/>
        <w:ind w:firstLine="640"/>
        <w:rPr>
          <w:rFonts w:hint="eastAsia" w:ascii="仿宋" w:hAnsi="仿宋" w:eastAsia="仿宋" w:cs="Times New Roman"/>
          <w:color w:val="333333"/>
          <w:kern w:val="0"/>
          <w:sz w:val="32"/>
          <w:szCs w:val="32"/>
        </w:rPr>
      </w:pPr>
      <w:r>
        <w:rPr>
          <w:rFonts w:hint="eastAsia" w:ascii="仿宋" w:hAnsi="仿宋" w:eastAsia="仿宋" w:cs="Times New Roman"/>
          <w:color w:val="333333"/>
          <w:kern w:val="0"/>
          <w:sz w:val="32"/>
          <w:szCs w:val="32"/>
        </w:rPr>
        <w:t>评价方法采用数据分析、座谈、询问查证等。</w:t>
      </w:r>
    </w:p>
    <w:p w14:paraId="7B6C146F">
      <w:pPr>
        <w:spacing w:line="600" w:lineRule="exact"/>
        <w:rPr>
          <w:rFonts w:eastAsia="黑体"/>
          <w:b/>
          <w:bCs/>
          <w:sz w:val="32"/>
          <w:szCs w:val="32"/>
        </w:rPr>
      </w:pPr>
      <w:r>
        <w:rPr>
          <w:rFonts w:hint="eastAsia" w:eastAsia="黑体"/>
          <w:b/>
          <w:bCs/>
          <w:sz w:val="32"/>
          <w:szCs w:val="32"/>
        </w:rPr>
        <w:t>三、主要绩效及评价结论</w:t>
      </w:r>
    </w:p>
    <w:p w14:paraId="7C58F330">
      <w:pPr>
        <w:spacing w:line="620" w:lineRule="exact"/>
        <w:ind w:firstLine="321" w:firstLineChars="100"/>
        <w:rPr>
          <w:rFonts w:hint="eastAsia" w:ascii="黑体" w:hAnsi="黑体" w:eastAsia="黑体" w:cs="楷体"/>
          <w:b/>
          <w:bCs/>
          <w:sz w:val="32"/>
          <w:szCs w:val="32"/>
        </w:rPr>
      </w:pPr>
      <w:r>
        <w:rPr>
          <w:rFonts w:hint="eastAsia" w:ascii="黑体" w:hAnsi="黑体" w:eastAsia="黑体" w:cs="楷体"/>
          <w:b/>
          <w:bCs/>
          <w:sz w:val="32"/>
          <w:szCs w:val="32"/>
        </w:rPr>
        <w:t>（一）社会效益</w:t>
      </w:r>
    </w:p>
    <w:p w14:paraId="67D9BEA1">
      <w:pPr>
        <w:spacing w:line="620" w:lineRule="exact"/>
        <w:ind w:firstLine="320" w:firstLineChars="100"/>
        <w:rPr>
          <w:rFonts w:hint="eastAsia" w:ascii="仿宋" w:hAnsi="仿宋" w:eastAsia="仿宋" w:cs="Times New Roman"/>
          <w:color w:val="333333"/>
          <w:kern w:val="0"/>
          <w:sz w:val="32"/>
          <w:szCs w:val="32"/>
        </w:rPr>
      </w:pPr>
      <w:r>
        <w:rPr>
          <w:rFonts w:hint="eastAsia" w:ascii="仿宋" w:hAnsi="仿宋" w:eastAsia="仿宋" w:cs="Times New Roman"/>
          <w:color w:val="333333"/>
          <w:kern w:val="0"/>
          <w:sz w:val="32"/>
          <w:szCs w:val="32"/>
        </w:rPr>
        <w:t>纪念园日常维护；</w:t>
      </w:r>
    </w:p>
    <w:p w14:paraId="08081F78">
      <w:pPr>
        <w:spacing w:line="620" w:lineRule="exact"/>
        <w:ind w:firstLine="321" w:firstLineChars="100"/>
        <w:rPr>
          <w:rFonts w:hint="eastAsia" w:ascii="黑体" w:hAnsi="黑体" w:eastAsia="黑体" w:cs="楷体"/>
          <w:b/>
          <w:bCs/>
          <w:sz w:val="32"/>
          <w:szCs w:val="32"/>
        </w:rPr>
      </w:pPr>
      <w:r>
        <w:rPr>
          <w:rFonts w:hint="eastAsia" w:ascii="黑体" w:hAnsi="黑体" w:eastAsia="黑体" w:cs="楷体"/>
          <w:b/>
          <w:bCs/>
          <w:sz w:val="32"/>
          <w:szCs w:val="32"/>
        </w:rPr>
        <w:t>（二）生态效益</w:t>
      </w:r>
    </w:p>
    <w:p w14:paraId="3D46D3D6">
      <w:pPr>
        <w:ind w:firstLine="320" w:firstLineChars="100"/>
        <w:rPr>
          <w:rFonts w:hint="eastAsia" w:ascii="仿宋" w:hAnsi="仿宋" w:eastAsia="仿宋" w:cs="Times New Roman"/>
          <w:color w:val="333333"/>
          <w:kern w:val="0"/>
          <w:sz w:val="32"/>
          <w:szCs w:val="32"/>
        </w:rPr>
      </w:pPr>
      <w:r>
        <w:rPr>
          <w:rFonts w:hint="eastAsia" w:ascii="仿宋" w:hAnsi="仿宋" w:eastAsia="仿宋" w:cs="Times New Roman"/>
          <w:color w:val="333333"/>
          <w:kern w:val="0"/>
          <w:sz w:val="32"/>
          <w:szCs w:val="32"/>
        </w:rPr>
        <w:t>提升园区环境风貌；</w:t>
      </w:r>
    </w:p>
    <w:p w14:paraId="74804B08">
      <w:pPr>
        <w:spacing w:line="620" w:lineRule="exact"/>
        <w:ind w:firstLine="321" w:firstLineChars="100"/>
        <w:rPr>
          <w:rFonts w:hint="eastAsia" w:ascii="黑体" w:hAnsi="黑体" w:eastAsia="黑体" w:cs="楷体"/>
          <w:b/>
          <w:bCs/>
          <w:sz w:val="32"/>
          <w:szCs w:val="32"/>
        </w:rPr>
      </w:pPr>
      <w:r>
        <w:rPr>
          <w:rFonts w:hint="eastAsia" w:ascii="黑体" w:hAnsi="黑体" w:eastAsia="黑体" w:cs="楷体"/>
          <w:b/>
          <w:bCs/>
          <w:sz w:val="32"/>
          <w:szCs w:val="32"/>
        </w:rPr>
        <w:t>（三）可持续影响</w:t>
      </w:r>
    </w:p>
    <w:p w14:paraId="7EFB0D1A">
      <w:pPr>
        <w:spacing w:line="62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服务地方经济；提供就业岗位。</w:t>
      </w:r>
    </w:p>
    <w:p w14:paraId="2E923D2E">
      <w:pPr>
        <w:spacing w:line="620" w:lineRule="exact"/>
        <w:ind w:firstLine="321" w:firstLineChars="100"/>
        <w:rPr>
          <w:rFonts w:hint="eastAsia" w:ascii="黑体" w:hAnsi="黑体" w:eastAsia="黑体" w:cs="楷体"/>
          <w:b/>
          <w:bCs/>
          <w:sz w:val="32"/>
          <w:szCs w:val="32"/>
        </w:rPr>
      </w:pPr>
      <w:r>
        <w:rPr>
          <w:rFonts w:hint="eastAsia" w:ascii="黑体" w:hAnsi="黑体" w:eastAsia="黑体" w:cs="楷体"/>
          <w:b/>
          <w:bCs/>
          <w:sz w:val="32"/>
          <w:szCs w:val="32"/>
        </w:rPr>
        <w:t>（四）满意度情况</w:t>
      </w:r>
    </w:p>
    <w:p w14:paraId="21488A53">
      <w:pPr>
        <w:spacing w:line="62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使用人员满意度。</w:t>
      </w:r>
    </w:p>
    <w:p w14:paraId="697CA7FB">
      <w:pPr>
        <w:spacing w:line="620" w:lineRule="exact"/>
        <w:ind w:firstLine="321" w:firstLineChars="100"/>
        <w:rPr>
          <w:rFonts w:hint="eastAsia" w:ascii="黑体" w:hAnsi="黑体" w:eastAsia="黑体" w:cs="楷体"/>
          <w:b/>
          <w:bCs/>
          <w:sz w:val="32"/>
          <w:szCs w:val="32"/>
        </w:rPr>
      </w:pPr>
      <w:r>
        <w:rPr>
          <w:rFonts w:hint="eastAsia" w:ascii="黑体" w:hAnsi="黑体" w:eastAsia="黑体" w:cs="楷体"/>
          <w:b/>
          <w:bCs/>
          <w:sz w:val="32"/>
          <w:szCs w:val="32"/>
        </w:rPr>
        <w:t>（五）评价结论</w:t>
      </w:r>
    </w:p>
    <w:p w14:paraId="222BB7B2">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经自评，本次评价总分100分，自评得分96 ，评价等级为优。</w:t>
      </w:r>
    </w:p>
    <w:p w14:paraId="7820ED18">
      <w:pPr>
        <w:spacing w:line="600" w:lineRule="exact"/>
        <w:ind w:firstLine="640" w:firstLineChars="200"/>
        <w:rPr>
          <w:rFonts w:eastAsia="黑体"/>
          <w:sz w:val="32"/>
          <w:szCs w:val="32"/>
        </w:rPr>
      </w:pPr>
      <w:r>
        <w:rPr>
          <w:rFonts w:hint="eastAsia" w:eastAsia="黑体"/>
          <w:sz w:val="32"/>
          <w:szCs w:val="32"/>
        </w:rPr>
        <w:t>四、绩效评价指标分析</w:t>
      </w:r>
    </w:p>
    <w:p w14:paraId="2C5CA48E">
      <w:pPr>
        <w:spacing w:line="600" w:lineRule="exact"/>
        <w:ind w:firstLine="640" w:firstLineChars="200"/>
        <w:rPr>
          <w:rFonts w:eastAsia="黑体"/>
          <w:sz w:val="32"/>
          <w:szCs w:val="32"/>
        </w:rPr>
      </w:pPr>
      <w:r>
        <w:rPr>
          <w:rFonts w:hint="eastAsia" w:eastAsia="黑体"/>
          <w:sz w:val="32"/>
          <w:szCs w:val="32"/>
        </w:rPr>
        <w:t>（一）项目决策情况</w:t>
      </w:r>
    </w:p>
    <w:p w14:paraId="104A1E58">
      <w:pPr>
        <w:spacing w:line="620" w:lineRule="exact"/>
        <w:ind w:firstLine="640" w:firstLineChars="200"/>
        <w:rPr>
          <w:rFonts w:hint="eastAsia" w:ascii="楷体" w:hAnsi="楷体" w:eastAsia="楷体" w:cs="楷体"/>
          <w:b/>
          <w:bCs/>
          <w:sz w:val="32"/>
          <w:szCs w:val="32"/>
        </w:rPr>
      </w:pPr>
      <w:r>
        <w:rPr>
          <w:rFonts w:hint="eastAsia" w:ascii="仿宋" w:hAnsi="仿宋" w:eastAsia="仿宋" w:cs="仿宋"/>
          <w:sz w:val="32"/>
          <w:szCs w:val="32"/>
        </w:rPr>
        <w:t>2023年怀化职业技术学院对该项资金进行了预算编制，按照工作内容对专项资金进行量化分解，资金分配合理。安江纪念园管理处严控质量，严格资金等环节的管理，较好完年初成绩效目标，各类效益指标凸显，社会满意度提高。</w:t>
      </w:r>
    </w:p>
    <w:p w14:paraId="2A36C165">
      <w:pPr>
        <w:spacing w:line="600" w:lineRule="exact"/>
        <w:ind w:firstLine="640" w:firstLineChars="200"/>
        <w:rPr>
          <w:rFonts w:eastAsia="黑体"/>
          <w:sz w:val="32"/>
          <w:szCs w:val="32"/>
        </w:rPr>
      </w:pPr>
      <w:r>
        <w:rPr>
          <w:rFonts w:hint="eastAsia" w:eastAsia="黑体"/>
          <w:sz w:val="32"/>
          <w:szCs w:val="32"/>
        </w:rPr>
        <w:t>（二）项目过程情况</w:t>
      </w:r>
    </w:p>
    <w:p w14:paraId="11A60155">
      <w:pPr>
        <w:pStyle w:val="2"/>
        <w:shd w:val="clear" w:color="auto" w:fill="FFFFFF"/>
        <w:spacing w:before="0" w:beforeAutospacing="0" w:after="0" w:afterAutospacing="0" w:line="360" w:lineRule="auto"/>
        <w:ind w:firstLine="643"/>
        <w:rPr>
          <w:rFonts w:hint="eastAsia" w:ascii="仿宋" w:hAnsi="仿宋" w:eastAsia="仿宋"/>
          <w:b w:val="0"/>
          <w:bCs w:val="0"/>
          <w:sz w:val="32"/>
          <w:szCs w:val="32"/>
        </w:rPr>
      </w:pPr>
      <w:r>
        <w:rPr>
          <w:rFonts w:hint="eastAsia" w:ascii="仿宋" w:hAnsi="仿宋" w:eastAsia="仿宋"/>
          <w:b w:val="0"/>
          <w:bCs w:val="0"/>
          <w:sz w:val="32"/>
          <w:szCs w:val="32"/>
        </w:rPr>
        <w:t>1.资金管理</w:t>
      </w:r>
    </w:p>
    <w:p w14:paraId="288DD1DA">
      <w:pPr>
        <w:pStyle w:val="17"/>
        <w:ind w:firstLineChars="0"/>
        <w:rPr>
          <w:rFonts w:hint="eastAsia" w:ascii="仿宋" w:hAnsi="仿宋" w:eastAsia="仿宋" w:cs="仿宋"/>
          <w:kern w:val="2"/>
          <w:szCs w:val="32"/>
        </w:rPr>
      </w:pPr>
      <w:r>
        <w:rPr>
          <w:rFonts w:hint="eastAsia" w:ascii="仿宋" w:hAnsi="仿宋" w:eastAsia="仿宋" w:cs="仿宋"/>
          <w:kern w:val="2"/>
          <w:szCs w:val="32"/>
        </w:rPr>
        <w:t>根据绩效目标，严格管理和使用好专项资金。</w:t>
      </w:r>
    </w:p>
    <w:p w14:paraId="63B865F8">
      <w:pPr>
        <w:pStyle w:val="2"/>
        <w:shd w:val="clear" w:color="auto" w:fill="FFFFFF"/>
        <w:spacing w:before="0" w:beforeAutospacing="0" w:after="0" w:afterAutospacing="0"/>
        <w:ind w:firstLine="643"/>
        <w:rPr>
          <w:rFonts w:hint="eastAsia" w:ascii="仿宋" w:hAnsi="仿宋" w:eastAsia="仿宋"/>
          <w:b w:val="0"/>
          <w:bCs w:val="0"/>
          <w:sz w:val="32"/>
          <w:szCs w:val="32"/>
        </w:rPr>
      </w:pPr>
      <w:r>
        <w:rPr>
          <w:rFonts w:hint="eastAsia" w:ascii="仿宋" w:hAnsi="仿宋" w:eastAsia="仿宋"/>
          <w:b w:val="0"/>
          <w:bCs w:val="0"/>
          <w:sz w:val="32"/>
          <w:szCs w:val="32"/>
        </w:rPr>
        <w:t>2.项目实施</w:t>
      </w:r>
    </w:p>
    <w:p w14:paraId="342CC9C4">
      <w:pPr>
        <w:ind w:firstLine="720" w:firstLineChars="200"/>
        <w:rPr>
          <w:rFonts w:ascii="Calibri" w:hAnsi="Calibri" w:eastAsia="仿宋" w:cs="Calibri"/>
          <w:snapToGrid w:val="0"/>
          <w:spacing w:val="20"/>
          <w:sz w:val="32"/>
          <w:szCs w:val="32"/>
        </w:rPr>
      </w:pPr>
      <w:r>
        <w:rPr>
          <w:rFonts w:hint="eastAsia" w:ascii="Calibri" w:hAnsi="Calibri" w:eastAsia="仿宋" w:cs="Calibri"/>
          <w:snapToGrid w:val="0"/>
          <w:spacing w:val="20"/>
          <w:sz w:val="32"/>
          <w:szCs w:val="32"/>
        </w:rPr>
        <w:t>安江农校纪念园开展巡查制度，每天对文物建筑本体安全及周边环境进行检查，发现问题及隐患及时跟踪处理，针对瞬间游客量的变化，增加移动垃圾清运车，遵照年初拟定的计划有序推进项目工作。项目实施内容已经基本完成，实现了项目预期目标。</w:t>
      </w:r>
    </w:p>
    <w:p w14:paraId="102DF46B">
      <w:pPr>
        <w:ind w:firstLine="640" w:firstLineChars="200"/>
        <w:rPr>
          <w:rFonts w:hint="eastAsia" w:ascii="仿宋" w:hAnsi="仿宋" w:eastAsia="仿宋"/>
          <w:sz w:val="32"/>
          <w:szCs w:val="32"/>
        </w:rPr>
      </w:pPr>
      <w:r>
        <w:rPr>
          <w:rFonts w:hint="eastAsia" w:ascii="仿宋" w:hAnsi="仿宋" w:eastAsia="仿宋"/>
          <w:sz w:val="32"/>
          <w:szCs w:val="32"/>
          <w:highlight w:val="lightGray"/>
        </w:rPr>
        <w:t>（1）</w:t>
      </w:r>
      <w:r>
        <w:rPr>
          <w:rFonts w:hint="eastAsia" w:ascii="仿宋" w:hAnsi="仿宋" w:eastAsia="仿宋"/>
          <w:sz w:val="32"/>
          <w:szCs w:val="32"/>
        </w:rPr>
        <w:t>维修保养文物建筑28栋；园区及杂交水稻发源地纪念馆的卫生、安保维持正常运行；绿化苗木有效管理；水电使用正常。</w:t>
      </w:r>
    </w:p>
    <w:p w14:paraId="4E066178">
      <w:pPr>
        <w:ind w:firstLine="640" w:firstLineChars="200"/>
        <w:rPr>
          <w:rFonts w:hint="eastAsia" w:ascii="仿宋" w:hAnsi="仿宋" w:eastAsia="仿宋"/>
          <w:sz w:val="32"/>
          <w:szCs w:val="32"/>
        </w:rPr>
      </w:pPr>
      <w:r>
        <w:rPr>
          <w:rFonts w:hint="eastAsia" w:ascii="仿宋" w:hAnsi="仿宋" w:eastAsia="仿宋"/>
          <w:sz w:val="32"/>
          <w:szCs w:val="32"/>
          <w:highlight w:val="lightGray"/>
        </w:rPr>
        <w:t>（2）</w:t>
      </w:r>
      <w:r>
        <w:rPr>
          <w:rFonts w:hint="eastAsia" w:ascii="仿宋" w:hAnsi="仿宋" w:eastAsia="仿宋"/>
          <w:sz w:val="32"/>
          <w:szCs w:val="32"/>
        </w:rPr>
        <w:t>维修保养文物建筑20栋含房屋屋面捡漏，文物建筑外立面维修，门窗维护等；保证不漏水不渗水不坍塌；优化游道，增加安全防护等。</w:t>
      </w:r>
    </w:p>
    <w:p w14:paraId="39230971">
      <w:pPr>
        <w:ind w:firstLine="640" w:firstLineChars="200"/>
        <w:rPr>
          <w:rFonts w:hint="eastAsia" w:ascii="仿宋" w:hAnsi="仿宋" w:eastAsia="仿宋"/>
          <w:sz w:val="32"/>
          <w:szCs w:val="32"/>
        </w:rPr>
      </w:pPr>
      <w:r>
        <w:rPr>
          <w:rFonts w:hint="eastAsia" w:ascii="仿宋" w:hAnsi="仿宋" w:eastAsia="仿宋"/>
          <w:sz w:val="32"/>
          <w:szCs w:val="32"/>
          <w:highlight w:val="lightGray"/>
        </w:rPr>
        <w:t>（3）</w:t>
      </w:r>
      <w:r>
        <w:rPr>
          <w:rFonts w:hint="eastAsia" w:ascii="仿宋" w:hAnsi="仿宋" w:eastAsia="仿宋"/>
          <w:sz w:val="32"/>
          <w:szCs w:val="32"/>
        </w:rPr>
        <w:t>接待游客58万人次以上，接待机关企事业单位团体、党团组织、大中院校来园开展活动86批次以上，举办科普、文化旅游、党群教育、爱国主义教育等主题活动6场。</w:t>
      </w:r>
    </w:p>
    <w:p w14:paraId="3545228B">
      <w:pPr>
        <w:spacing w:line="620" w:lineRule="exact"/>
        <w:ind w:firstLine="643" w:firstLineChars="200"/>
        <w:rPr>
          <w:rFonts w:hint="eastAsia" w:ascii="黑体" w:hAnsi="黑体" w:eastAsia="黑体" w:cs="楷体"/>
          <w:b/>
          <w:bCs/>
          <w:sz w:val="32"/>
          <w:szCs w:val="32"/>
        </w:rPr>
      </w:pPr>
      <w:r>
        <w:rPr>
          <w:rFonts w:hint="eastAsia" w:ascii="黑体" w:hAnsi="黑体" w:eastAsia="黑体" w:cs="楷体"/>
          <w:b/>
          <w:bCs/>
          <w:sz w:val="32"/>
          <w:szCs w:val="32"/>
        </w:rPr>
        <w:t>（三）项目产出情况</w:t>
      </w:r>
    </w:p>
    <w:p w14:paraId="384B0D22">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1.产出数量</w:t>
      </w:r>
    </w:p>
    <w:p w14:paraId="67346DED">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维修房屋栋数28处；屋顶防漏处</w:t>
      </w:r>
      <w:r>
        <w:rPr>
          <w:rFonts w:hint="eastAsia" w:ascii="仿宋" w:hAnsi="仿宋" w:eastAsia="仿宋" w:cs="仿宋"/>
          <w:sz w:val="32"/>
          <w:szCs w:val="32"/>
        </w:rPr>
        <w:tab/>
      </w:r>
      <w:r>
        <w:rPr>
          <w:rFonts w:hint="eastAsia" w:ascii="仿宋" w:hAnsi="仿宋" w:eastAsia="仿宋" w:cs="仿宋"/>
          <w:sz w:val="32"/>
          <w:szCs w:val="32"/>
        </w:rPr>
        <w:t>20处；接待游客人次58万人次；接待研学团队个数62个；爱国主义教育活动个数</w:t>
      </w:r>
      <w:r>
        <w:rPr>
          <w:rFonts w:hint="eastAsia" w:ascii="仿宋" w:hAnsi="仿宋" w:eastAsia="仿宋" w:cs="仿宋"/>
          <w:sz w:val="32"/>
          <w:szCs w:val="32"/>
        </w:rPr>
        <w:tab/>
      </w:r>
      <w:r>
        <w:rPr>
          <w:rFonts w:hint="eastAsia" w:ascii="仿宋" w:hAnsi="仿宋" w:eastAsia="仿宋" w:cs="仿宋"/>
          <w:sz w:val="32"/>
          <w:szCs w:val="32"/>
        </w:rPr>
        <w:t>6个。</w:t>
      </w:r>
    </w:p>
    <w:p w14:paraId="65AA0F66">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2.产出质量</w:t>
      </w:r>
    </w:p>
    <w:p w14:paraId="70766C21">
      <w:pPr>
        <w:spacing w:line="6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项目验收合格率100%。</w:t>
      </w:r>
    </w:p>
    <w:p w14:paraId="33E68E87">
      <w:pPr>
        <w:pStyle w:val="16"/>
        <w:numPr>
          <w:ilvl w:val="0"/>
          <w:numId w:val="3"/>
        </w:numPr>
        <w:spacing w:line="620" w:lineRule="exact"/>
        <w:ind w:firstLineChars="0"/>
        <w:rPr>
          <w:rFonts w:hint="eastAsia" w:ascii="仿宋" w:hAnsi="仿宋" w:eastAsia="仿宋" w:cs="仿宋"/>
          <w:sz w:val="32"/>
          <w:szCs w:val="32"/>
        </w:rPr>
      </w:pPr>
      <w:r>
        <w:rPr>
          <w:rFonts w:hint="eastAsia" w:ascii="仿宋" w:hAnsi="仿宋" w:eastAsia="仿宋" w:cs="仿宋"/>
          <w:sz w:val="32"/>
          <w:szCs w:val="32"/>
        </w:rPr>
        <w:t>产出成本</w:t>
      </w:r>
    </w:p>
    <w:p w14:paraId="51724AB2">
      <w:pPr>
        <w:pStyle w:val="16"/>
        <w:spacing w:line="620" w:lineRule="exact"/>
        <w:ind w:left="420" w:firstLine="0" w:firstLineChars="0"/>
        <w:rPr>
          <w:rFonts w:hint="eastAsia" w:ascii="仿宋" w:hAnsi="仿宋" w:eastAsia="仿宋" w:cs="仿宋"/>
          <w:sz w:val="32"/>
          <w:szCs w:val="32"/>
        </w:rPr>
      </w:pPr>
      <w:r>
        <w:rPr>
          <w:rFonts w:hint="eastAsia" w:ascii="仿宋" w:hAnsi="仿宋" w:eastAsia="仿宋" w:cs="仿宋"/>
          <w:sz w:val="32"/>
          <w:szCs w:val="32"/>
        </w:rPr>
        <w:t>项目严格按合同约定金额执行，未超支。</w:t>
      </w:r>
    </w:p>
    <w:p w14:paraId="43CAC288">
      <w:pPr>
        <w:pStyle w:val="16"/>
        <w:numPr>
          <w:ilvl w:val="0"/>
          <w:numId w:val="3"/>
        </w:numPr>
        <w:spacing w:line="620" w:lineRule="exact"/>
        <w:ind w:firstLineChars="0"/>
        <w:rPr>
          <w:rFonts w:hint="eastAsia" w:ascii="仿宋" w:hAnsi="仿宋" w:eastAsia="仿宋" w:cs="仿宋"/>
          <w:sz w:val="32"/>
          <w:szCs w:val="32"/>
        </w:rPr>
      </w:pPr>
      <w:r>
        <w:rPr>
          <w:rFonts w:hint="eastAsia" w:ascii="仿宋" w:hAnsi="仿宋" w:eastAsia="仿宋" w:cs="仿宋"/>
          <w:sz w:val="32"/>
          <w:szCs w:val="32"/>
        </w:rPr>
        <w:t>产出时效</w:t>
      </w:r>
    </w:p>
    <w:p w14:paraId="288DB5D1">
      <w:pPr>
        <w:pStyle w:val="16"/>
        <w:spacing w:line="620" w:lineRule="exact"/>
        <w:ind w:left="420" w:firstLine="0" w:firstLineChars="0"/>
        <w:rPr>
          <w:rFonts w:hint="eastAsia" w:ascii="仿宋" w:hAnsi="仿宋" w:eastAsia="仿宋" w:cs="仿宋"/>
          <w:sz w:val="32"/>
          <w:szCs w:val="32"/>
        </w:rPr>
      </w:pPr>
      <w:r>
        <w:rPr>
          <w:rFonts w:hint="eastAsia" w:ascii="仿宋" w:hAnsi="仿宋" w:eastAsia="仿宋" w:cs="仿宋"/>
          <w:sz w:val="32"/>
          <w:szCs w:val="32"/>
        </w:rPr>
        <w:t>项目按合同约定时间内完成。</w:t>
      </w:r>
    </w:p>
    <w:p w14:paraId="4ED48751">
      <w:pPr>
        <w:ind w:firstLine="161" w:firstLineChars="50"/>
        <w:rPr>
          <w:rFonts w:hint="eastAsia" w:ascii="黑体" w:hAnsi="黑体" w:eastAsia="黑体"/>
          <w:b/>
          <w:bCs/>
          <w:sz w:val="32"/>
          <w:szCs w:val="32"/>
        </w:rPr>
      </w:pPr>
      <w:r>
        <w:rPr>
          <w:rFonts w:hint="eastAsia" w:ascii="黑体" w:hAnsi="黑体" w:eastAsia="黑体"/>
          <w:b/>
          <w:bCs/>
          <w:sz w:val="32"/>
          <w:szCs w:val="32"/>
        </w:rPr>
        <w:t>（四）项目效益情况</w:t>
      </w:r>
    </w:p>
    <w:p w14:paraId="4A57FFF3">
      <w:pPr>
        <w:pStyle w:val="17"/>
        <w:ind w:firstLine="640"/>
        <w:rPr>
          <w:rFonts w:hint="eastAsia" w:ascii="仿宋" w:hAnsi="仿宋" w:eastAsia="仿宋" w:cs="宋体"/>
        </w:rPr>
      </w:pPr>
      <w:r>
        <w:rPr>
          <w:rFonts w:hint="eastAsia" w:ascii="仿宋" w:hAnsi="仿宋" w:eastAsia="仿宋" w:cs="宋体"/>
        </w:rPr>
        <w:t>1.经济效益</w:t>
      </w:r>
    </w:p>
    <w:p w14:paraId="109D6026">
      <w:pPr>
        <w:pStyle w:val="17"/>
        <w:ind w:firstLine="640"/>
        <w:rPr>
          <w:rFonts w:hint="eastAsia" w:ascii="仿宋" w:hAnsi="仿宋" w:eastAsia="仿宋" w:cs="仿宋"/>
          <w:kern w:val="2"/>
          <w:szCs w:val="32"/>
        </w:rPr>
      </w:pPr>
      <w:r>
        <w:rPr>
          <w:rFonts w:hint="eastAsia" w:ascii="仿宋" w:hAnsi="仿宋" w:eastAsia="仿宋" w:cs="仿宋"/>
          <w:kern w:val="2"/>
          <w:szCs w:val="32"/>
        </w:rPr>
        <w:t>带动周边商业经济，受地域限制，一定程度上带动了周边商业经济。</w:t>
      </w:r>
    </w:p>
    <w:p w14:paraId="61415466">
      <w:pPr>
        <w:pStyle w:val="17"/>
        <w:ind w:firstLine="640"/>
        <w:rPr>
          <w:rFonts w:hint="eastAsia" w:ascii="仿宋" w:hAnsi="仿宋" w:eastAsia="仿宋" w:cs="宋体"/>
        </w:rPr>
      </w:pPr>
      <w:r>
        <w:rPr>
          <w:rFonts w:hint="eastAsia" w:ascii="仿宋" w:hAnsi="仿宋" w:eastAsia="仿宋" w:cs="宋体"/>
        </w:rPr>
        <w:t>2．社会效益</w:t>
      </w:r>
    </w:p>
    <w:p w14:paraId="01CB3527">
      <w:pPr>
        <w:tabs>
          <w:tab w:val="left" w:pos="4973"/>
        </w:tabs>
        <w:spacing w:line="360" w:lineRule="auto"/>
        <w:ind w:firstLine="640" w:firstLineChars="200"/>
        <w:rPr>
          <w:rFonts w:hint="eastAsia" w:ascii="仿宋" w:hAnsi="仿宋" w:eastAsia="仿宋" w:cs="Times New Roman"/>
          <w:color w:val="333333"/>
          <w:kern w:val="0"/>
          <w:sz w:val="32"/>
          <w:szCs w:val="32"/>
        </w:rPr>
      </w:pPr>
      <w:r>
        <w:rPr>
          <w:rFonts w:hint="eastAsia" w:ascii="仿宋" w:hAnsi="仿宋" w:eastAsia="仿宋" w:cs="Times New Roman"/>
          <w:color w:val="333333"/>
          <w:kern w:val="0"/>
          <w:sz w:val="32"/>
          <w:szCs w:val="32"/>
        </w:rPr>
        <w:t>纪念园日常维护效果明显，资金没有产生浪费。</w:t>
      </w:r>
    </w:p>
    <w:p w14:paraId="68490841">
      <w:pPr>
        <w:pStyle w:val="17"/>
        <w:ind w:firstLine="640"/>
        <w:rPr>
          <w:rFonts w:hint="eastAsia" w:ascii="仿宋" w:hAnsi="仿宋" w:eastAsia="仿宋" w:cs="宋体"/>
        </w:rPr>
      </w:pPr>
      <w:r>
        <w:rPr>
          <w:rFonts w:hint="eastAsia" w:ascii="仿宋" w:hAnsi="仿宋" w:eastAsia="仿宋" w:cs="宋体"/>
        </w:rPr>
        <w:t>3.生态效益</w:t>
      </w:r>
    </w:p>
    <w:p w14:paraId="54CE8958">
      <w:pPr>
        <w:tabs>
          <w:tab w:val="left" w:pos="4973"/>
        </w:tabs>
        <w:spacing w:line="360" w:lineRule="auto"/>
        <w:ind w:firstLine="640" w:firstLineChars="200"/>
        <w:rPr>
          <w:sz w:val="32"/>
          <w:szCs w:val="32"/>
        </w:rPr>
      </w:pPr>
      <w:r>
        <w:rPr>
          <w:rFonts w:hint="eastAsia" w:ascii="仿宋" w:hAnsi="仿宋" w:eastAsia="仿宋"/>
          <w:color w:val="333333"/>
          <w:kern w:val="0"/>
          <w:sz w:val="32"/>
          <w:szCs w:val="32"/>
        </w:rPr>
        <w:t>提升园区环境风貌效果显著，绿化保护做的好。</w:t>
      </w:r>
      <w:r>
        <w:rPr>
          <w:sz w:val="32"/>
          <w:szCs w:val="32"/>
        </w:rPr>
        <w:tab/>
      </w:r>
    </w:p>
    <w:p w14:paraId="1277C5BF">
      <w:pPr>
        <w:pStyle w:val="17"/>
        <w:ind w:firstLine="640"/>
        <w:rPr>
          <w:rFonts w:hint="eastAsia" w:ascii="仿宋" w:hAnsi="仿宋" w:eastAsia="仿宋" w:cs="宋体"/>
        </w:rPr>
      </w:pPr>
      <w:r>
        <w:rPr>
          <w:rFonts w:hint="eastAsia" w:ascii="仿宋" w:hAnsi="仿宋" w:eastAsia="仿宋" w:cs="宋体"/>
        </w:rPr>
        <w:t>4.可持续影响</w:t>
      </w:r>
    </w:p>
    <w:p w14:paraId="17E9DC86">
      <w:pPr>
        <w:spacing w:line="360" w:lineRule="auto"/>
        <w:ind w:firstLine="640" w:firstLineChars="200"/>
        <w:rPr>
          <w:rFonts w:hint="eastAsia" w:ascii="仿宋" w:hAnsi="仿宋" w:eastAsia="仿宋"/>
          <w:color w:val="333333"/>
          <w:kern w:val="0"/>
          <w:sz w:val="32"/>
          <w:szCs w:val="32"/>
        </w:rPr>
      </w:pPr>
      <w:r>
        <w:rPr>
          <w:rFonts w:hint="eastAsia" w:ascii="仿宋" w:hAnsi="仿宋" w:eastAsia="仿宋"/>
          <w:color w:val="333333"/>
          <w:kern w:val="0"/>
          <w:sz w:val="32"/>
          <w:szCs w:val="32"/>
        </w:rPr>
        <w:t>服务地方经济效果良好；提供就业岗位效果良好。</w:t>
      </w:r>
    </w:p>
    <w:p w14:paraId="01BDB3A3">
      <w:pPr>
        <w:pStyle w:val="17"/>
        <w:ind w:firstLine="640"/>
        <w:rPr>
          <w:rFonts w:hint="eastAsia" w:ascii="仿宋" w:hAnsi="仿宋" w:eastAsia="仿宋" w:cs="宋体"/>
        </w:rPr>
      </w:pPr>
      <w:r>
        <w:rPr>
          <w:rFonts w:hint="eastAsia" w:ascii="仿宋" w:hAnsi="仿宋" w:eastAsia="仿宋" w:cs="宋体"/>
        </w:rPr>
        <w:t>5.满意度情况</w:t>
      </w:r>
    </w:p>
    <w:p w14:paraId="51CFE074">
      <w:pPr>
        <w:pStyle w:val="16"/>
        <w:spacing w:line="360" w:lineRule="auto"/>
        <w:ind w:left="420" w:firstLine="320" w:firstLineChars="100"/>
        <w:rPr>
          <w:rFonts w:hint="eastAsia" w:ascii="仿宋" w:hAnsi="仿宋" w:eastAsia="仿宋"/>
          <w:color w:val="333333"/>
          <w:kern w:val="0"/>
          <w:sz w:val="32"/>
          <w:szCs w:val="32"/>
        </w:rPr>
      </w:pPr>
      <w:r>
        <w:rPr>
          <w:rFonts w:hint="eastAsia" w:ascii="仿宋" w:hAnsi="仿宋" w:eastAsia="仿宋"/>
          <w:color w:val="333333"/>
          <w:kern w:val="0"/>
          <w:sz w:val="32"/>
          <w:szCs w:val="32"/>
        </w:rPr>
        <w:t>使用人员满意度100%。</w:t>
      </w:r>
    </w:p>
    <w:p w14:paraId="0B630593">
      <w:pPr>
        <w:adjustRightInd w:val="0"/>
        <w:snapToGrid w:val="0"/>
        <w:spacing w:line="600" w:lineRule="exact"/>
        <w:ind w:firstLine="643" w:firstLineChars="200"/>
        <w:rPr>
          <w:rFonts w:hint="eastAsia" w:ascii="黑体" w:hAnsi="黑体" w:eastAsia="黑体" w:cs="Times New Roman"/>
          <w:b/>
          <w:bCs/>
          <w:sz w:val="32"/>
          <w:szCs w:val="32"/>
        </w:rPr>
      </w:pPr>
      <w:r>
        <w:rPr>
          <w:rFonts w:hint="eastAsia" w:ascii="黑体" w:hAnsi="黑体" w:eastAsia="黑体" w:cs="Times New Roman"/>
          <w:b/>
          <w:bCs/>
          <w:sz w:val="32"/>
          <w:szCs w:val="32"/>
        </w:rPr>
        <w:t>五、项目主要经验、存在的问题及建议</w:t>
      </w:r>
    </w:p>
    <w:p w14:paraId="70D99517">
      <w:pPr>
        <w:spacing w:line="620" w:lineRule="exact"/>
        <w:ind w:firstLine="643" w:firstLineChars="200"/>
        <w:rPr>
          <w:rFonts w:hint="eastAsia" w:ascii="黑体" w:hAnsi="黑体" w:eastAsia="黑体" w:cs="楷体"/>
          <w:b/>
          <w:bCs/>
          <w:sz w:val="32"/>
          <w:szCs w:val="32"/>
        </w:rPr>
      </w:pPr>
      <w:r>
        <w:rPr>
          <w:rFonts w:hint="eastAsia" w:ascii="黑体" w:hAnsi="黑体" w:eastAsia="黑体" w:cs="楷体"/>
          <w:b/>
          <w:bCs/>
          <w:sz w:val="32"/>
          <w:szCs w:val="32"/>
        </w:rPr>
        <w:t>（一）项目主要经验及做法</w:t>
      </w:r>
    </w:p>
    <w:p w14:paraId="66399880">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通过安江农校纪念园工作经费绩效评价工作的开展，进一步加强专项支出的绩效管理，完善业务和财务管理制度，健全和落实财务监控机制，有效提高专项资金的使用效益和效率，确保财政资金的使用绩效。绩效自评优，达到专项资金对安江农校纪念园文物的日常维护保护目的，为怀化市打造洪江市旅游“金三角”助力地方旅游经济提供硬件保障，社会效能显著。</w:t>
      </w:r>
    </w:p>
    <w:p w14:paraId="4A9C5E29">
      <w:pPr>
        <w:spacing w:line="620" w:lineRule="exact"/>
        <w:ind w:firstLine="643" w:firstLineChars="200"/>
        <w:rPr>
          <w:rFonts w:hint="eastAsia" w:ascii="黑体" w:hAnsi="黑体" w:eastAsia="黑体" w:cs="楷体"/>
          <w:b/>
          <w:bCs/>
          <w:sz w:val="32"/>
          <w:szCs w:val="32"/>
        </w:rPr>
      </w:pPr>
      <w:r>
        <w:rPr>
          <w:rFonts w:hint="eastAsia" w:ascii="黑体" w:hAnsi="黑体" w:eastAsia="黑体" w:cs="楷体"/>
          <w:b/>
          <w:bCs/>
          <w:sz w:val="32"/>
          <w:szCs w:val="32"/>
        </w:rPr>
        <w:t>（二）存在的问题</w:t>
      </w:r>
    </w:p>
    <w:p w14:paraId="6BD527CE">
      <w:pPr>
        <w:adjustRightInd w:val="0"/>
        <w:snapToGrid w:val="0"/>
        <w:spacing w:line="600" w:lineRule="exact"/>
        <w:ind w:firstLine="640" w:firstLineChars="200"/>
        <w:rPr>
          <w:rFonts w:hint="eastAsia" w:ascii="仿宋" w:hAnsi="仿宋" w:eastAsia="仿宋" w:cs="仿宋"/>
          <w:sz w:val="32"/>
          <w:szCs w:val="32"/>
        </w:rPr>
      </w:pPr>
      <w:r>
        <w:rPr>
          <w:rFonts w:hint="eastAsia"/>
          <w:sz w:val="32"/>
          <w:szCs w:val="32"/>
        </w:rPr>
        <w:t xml:space="preserve"> 无</w:t>
      </w:r>
    </w:p>
    <w:p w14:paraId="6B64ECAA">
      <w:pPr>
        <w:spacing w:line="620" w:lineRule="exact"/>
        <w:ind w:firstLine="643" w:firstLineChars="200"/>
        <w:rPr>
          <w:rFonts w:hint="eastAsia" w:ascii="黑体" w:hAnsi="黑体" w:eastAsia="黑体" w:cs="楷体"/>
          <w:b/>
          <w:bCs/>
          <w:sz w:val="32"/>
          <w:szCs w:val="32"/>
        </w:rPr>
      </w:pPr>
      <w:r>
        <w:rPr>
          <w:rFonts w:hint="eastAsia" w:ascii="黑体" w:hAnsi="黑体" w:eastAsia="黑体" w:cs="楷体"/>
          <w:b/>
          <w:bCs/>
          <w:sz w:val="32"/>
          <w:szCs w:val="32"/>
        </w:rPr>
        <w:t>（三）有关建议</w:t>
      </w:r>
    </w:p>
    <w:p w14:paraId="19D82614">
      <w:pPr>
        <w:adjustRightInd w:val="0"/>
        <w:snapToGrid w:val="0"/>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加强政策宣传、强化部门、院校协作配合，加强信息化建设。</w:t>
      </w:r>
    </w:p>
    <w:p w14:paraId="14398B89">
      <w:pPr>
        <w:pStyle w:val="17"/>
        <w:spacing w:line="600" w:lineRule="exact"/>
        <w:ind w:firstLineChars="0"/>
        <w:rPr>
          <w:rFonts w:hint="eastAsia" w:ascii="仿宋" w:hAnsi="仿宋" w:eastAsia="仿宋"/>
          <w:kern w:val="2"/>
          <w:szCs w:val="32"/>
        </w:rPr>
      </w:pPr>
      <w:r>
        <w:rPr>
          <w:rFonts w:hint="eastAsia" w:ascii="仿宋" w:hAnsi="仿宋" w:eastAsia="仿宋"/>
          <w:kern w:val="2"/>
          <w:szCs w:val="32"/>
        </w:rPr>
        <w:t>附件1.项目支出绩效自评表（一个项目支出一张表）</w:t>
      </w:r>
    </w:p>
    <w:p w14:paraId="5DA0715D">
      <w:pPr>
        <w:ind w:firstLine="640" w:firstLineChars="200"/>
        <w:rPr>
          <w:rFonts w:hint="eastAsia" w:ascii="仿宋" w:hAnsi="仿宋" w:eastAsia="仿宋"/>
          <w:sz w:val="32"/>
          <w:szCs w:val="32"/>
        </w:rPr>
      </w:pPr>
    </w:p>
    <w:p w14:paraId="2D85AA45">
      <w:pPr>
        <w:rPr>
          <w:rFonts w:hint="eastAsia" w:ascii="仿宋" w:hAnsi="仿宋" w:eastAsia="仿宋"/>
          <w:sz w:val="28"/>
          <w:szCs w:val="28"/>
        </w:rPr>
      </w:pPr>
    </w:p>
    <w:p w14:paraId="23BDB0E5">
      <w:pPr>
        <w:rPr>
          <w:rFonts w:hint="eastAsia" w:ascii="仿宋" w:hAnsi="仿宋" w:eastAsia="仿宋"/>
          <w:sz w:val="28"/>
          <w:szCs w:val="28"/>
        </w:rPr>
      </w:pPr>
    </w:p>
    <w:p w14:paraId="677ECF50">
      <w:pPr>
        <w:widowControl/>
        <w:tabs>
          <w:tab w:val="left" w:pos="3611"/>
          <w:tab w:val="left" w:pos="4791"/>
          <w:tab w:val="left" w:pos="5951"/>
          <w:tab w:val="left" w:pos="7071"/>
          <w:tab w:val="left" w:pos="8191"/>
          <w:tab w:val="left" w:pos="9311"/>
        </w:tabs>
        <w:snapToGrid w:val="0"/>
        <w:spacing w:line="440" w:lineRule="atLeast"/>
        <w:jc w:val="left"/>
        <w:rPr>
          <w:rFonts w:hint="eastAsia" w:ascii="仿宋" w:hAnsi="仿宋" w:eastAsia="仿宋"/>
          <w:sz w:val="28"/>
          <w:szCs w:val="28"/>
        </w:rPr>
      </w:pPr>
      <w:r>
        <w:rPr>
          <w:rFonts w:hint="eastAsia" w:ascii="仿宋" w:hAnsi="仿宋" w:eastAsia="仿宋"/>
          <w:sz w:val="28"/>
          <w:szCs w:val="28"/>
        </w:rPr>
        <w:t>附件1</w:t>
      </w:r>
    </w:p>
    <w:p w14:paraId="44E58923">
      <w:pPr>
        <w:widowControl/>
        <w:tabs>
          <w:tab w:val="left" w:pos="3611"/>
          <w:tab w:val="left" w:pos="4791"/>
          <w:tab w:val="left" w:pos="5951"/>
          <w:tab w:val="left" w:pos="7071"/>
          <w:tab w:val="left" w:pos="8191"/>
          <w:tab w:val="left" w:pos="9311"/>
        </w:tabs>
        <w:snapToGrid w:val="0"/>
        <w:spacing w:line="440" w:lineRule="atLeast"/>
        <w:jc w:val="center"/>
        <w:rPr>
          <w:rFonts w:hint="eastAsia" w:ascii="方正小标宋_GBK" w:hAnsi="方正小标宋_GBK" w:eastAsia="方正小标宋_GBK" w:cs="方正小标宋_GBK"/>
          <w:color w:val="000000"/>
          <w:kern w:val="0"/>
          <w:sz w:val="28"/>
          <w:szCs w:val="28"/>
          <w:shd w:val="clear" w:color="auto" w:fill="FFFFFF"/>
        </w:rPr>
      </w:pPr>
      <w:r>
        <w:rPr>
          <w:rFonts w:hint="eastAsia" w:ascii="方正小标宋_GBK" w:hAnsi="方正小标宋_GBK" w:eastAsia="方正小标宋_GBK" w:cs="方正小标宋_GBK"/>
          <w:color w:val="000000"/>
          <w:kern w:val="0"/>
          <w:sz w:val="28"/>
          <w:szCs w:val="28"/>
          <w:shd w:val="clear" w:color="auto" w:fill="FFFFFF"/>
        </w:rPr>
        <w:t>项目支出绩效自评表</w:t>
      </w:r>
    </w:p>
    <w:tbl>
      <w:tblPr>
        <w:tblStyle w:val="9"/>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294"/>
        <w:gridCol w:w="1235"/>
        <w:gridCol w:w="1498"/>
        <w:gridCol w:w="773"/>
        <w:gridCol w:w="819"/>
        <w:gridCol w:w="1163"/>
      </w:tblGrid>
      <w:tr w14:paraId="424B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vAlign w:val="center"/>
          </w:tcPr>
          <w:p w14:paraId="34CAD88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64E1CAE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942" w:type="dxa"/>
            <w:gridSpan w:val="8"/>
            <w:vAlign w:val="center"/>
          </w:tcPr>
          <w:p w14:paraId="4532A0B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安江纪念园</w:t>
            </w:r>
            <w:r>
              <w:rPr>
                <w:rFonts w:hint="eastAsia" w:ascii="仿宋" w:hAnsi="仿宋" w:eastAsia="仿宋" w:cs="仿宋"/>
                <w:color w:val="000000"/>
                <w:kern w:val="0"/>
                <w:sz w:val="20"/>
                <w:szCs w:val="20"/>
                <w:lang w:eastAsia="zh-CN"/>
              </w:rPr>
              <w:t>专项业务（</w:t>
            </w:r>
            <w:r>
              <w:rPr>
                <w:rFonts w:hint="eastAsia" w:ascii="仿宋" w:hAnsi="仿宋" w:eastAsia="仿宋" w:cs="仿宋"/>
                <w:color w:val="000000"/>
                <w:kern w:val="0"/>
                <w:sz w:val="20"/>
                <w:szCs w:val="20"/>
              </w:rPr>
              <w:t>工作</w:t>
            </w: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经费</w:t>
            </w:r>
          </w:p>
        </w:tc>
      </w:tr>
      <w:tr w14:paraId="249DC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80" w:type="dxa"/>
            <w:vAlign w:val="center"/>
          </w:tcPr>
          <w:p w14:paraId="65BEF3E7">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主管部门</w:t>
            </w:r>
          </w:p>
        </w:tc>
        <w:tc>
          <w:tcPr>
            <w:tcW w:w="4689" w:type="dxa"/>
            <w:gridSpan w:val="4"/>
            <w:vAlign w:val="center"/>
          </w:tcPr>
          <w:p w14:paraId="699FD6BB">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498" w:type="dxa"/>
            <w:vAlign w:val="center"/>
          </w:tcPr>
          <w:p w14:paraId="33FDC0C4">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2755" w:type="dxa"/>
            <w:gridSpan w:val="3"/>
            <w:vAlign w:val="center"/>
          </w:tcPr>
          <w:p w14:paraId="28D8EA35">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怀化职业技术学院</w:t>
            </w:r>
          </w:p>
        </w:tc>
      </w:tr>
      <w:tr w14:paraId="65ED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vAlign w:val="center"/>
          </w:tcPr>
          <w:p w14:paraId="53CC4F2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项目资金</w:t>
            </w:r>
          </w:p>
          <w:p w14:paraId="6005A8A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（万元）</w:t>
            </w:r>
          </w:p>
        </w:tc>
        <w:tc>
          <w:tcPr>
            <w:tcW w:w="2160" w:type="dxa"/>
            <w:gridSpan w:val="2"/>
            <w:vAlign w:val="center"/>
          </w:tcPr>
          <w:p w14:paraId="54247A9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294" w:type="dxa"/>
            <w:vAlign w:val="center"/>
          </w:tcPr>
          <w:p w14:paraId="1680D8B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6806ABB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235" w:type="dxa"/>
            <w:vAlign w:val="center"/>
          </w:tcPr>
          <w:p w14:paraId="62F7418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4299F05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498" w:type="dxa"/>
            <w:vAlign w:val="center"/>
          </w:tcPr>
          <w:p w14:paraId="26A750EB">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全年</w:t>
            </w:r>
          </w:p>
          <w:p w14:paraId="7BD80A21">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执行数</w:t>
            </w:r>
          </w:p>
        </w:tc>
        <w:tc>
          <w:tcPr>
            <w:tcW w:w="773" w:type="dxa"/>
            <w:vAlign w:val="center"/>
          </w:tcPr>
          <w:p w14:paraId="2A098E20">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分值</w:t>
            </w:r>
          </w:p>
        </w:tc>
        <w:tc>
          <w:tcPr>
            <w:tcW w:w="819" w:type="dxa"/>
            <w:vAlign w:val="center"/>
          </w:tcPr>
          <w:p w14:paraId="4B9E1819">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执行率</w:t>
            </w:r>
          </w:p>
        </w:tc>
        <w:tc>
          <w:tcPr>
            <w:tcW w:w="1163" w:type="dxa"/>
            <w:vAlign w:val="center"/>
          </w:tcPr>
          <w:p w14:paraId="0B0F52F3">
            <w:pPr>
              <w:widowControl/>
              <w:spacing w:line="280" w:lineRule="exact"/>
              <w:jc w:val="center"/>
              <w:rPr>
                <w:rFonts w:hint="eastAsia" w:ascii="仿宋" w:hAnsi="仿宋" w:eastAsia="仿宋" w:cs="仿宋"/>
                <w:sz w:val="20"/>
                <w:szCs w:val="20"/>
              </w:rPr>
            </w:pPr>
            <w:r>
              <w:rPr>
                <w:rFonts w:hint="eastAsia" w:ascii="仿宋" w:hAnsi="仿宋" w:eastAsia="仿宋" w:cs="仿宋"/>
                <w:sz w:val="20"/>
                <w:szCs w:val="20"/>
              </w:rPr>
              <w:t>得分</w:t>
            </w:r>
          </w:p>
        </w:tc>
      </w:tr>
      <w:tr w14:paraId="4D5A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711A7D37">
            <w:pPr>
              <w:widowControl/>
              <w:spacing w:line="280" w:lineRule="exact"/>
              <w:jc w:val="left"/>
              <w:rPr>
                <w:rFonts w:hint="eastAsia" w:ascii="仿宋" w:hAnsi="仿宋" w:eastAsia="仿宋" w:cs="仿宋"/>
                <w:color w:val="000000"/>
                <w:kern w:val="0"/>
                <w:sz w:val="20"/>
                <w:szCs w:val="20"/>
              </w:rPr>
            </w:pPr>
          </w:p>
        </w:tc>
        <w:tc>
          <w:tcPr>
            <w:tcW w:w="2160" w:type="dxa"/>
            <w:gridSpan w:val="2"/>
            <w:vAlign w:val="center"/>
          </w:tcPr>
          <w:p w14:paraId="2042A5B0">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294" w:type="dxa"/>
            <w:vAlign w:val="center"/>
          </w:tcPr>
          <w:p w14:paraId="37DB0A69">
            <w:pPr>
              <w:widowControl/>
              <w:spacing w:line="280" w:lineRule="exact"/>
              <w:jc w:val="left"/>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　</w:t>
            </w:r>
          </w:p>
        </w:tc>
        <w:tc>
          <w:tcPr>
            <w:tcW w:w="1235" w:type="dxa"/>
            <w:vAlign w:val="center"/>
          </w:tcPr>
          <w:p w14:paraId="692B1DD5">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45</w:t>
            </w:r>
          </w:p>
        </w:tc>
        <w:tc>
          <w:tcPr>
            <w:tcW w:w="1498" w:type="dxa"/>
            <w:vAlign w:val="center"/>
          </w:tcPr>
          <w:p w14:paraId="36245D5B">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45</w:t>
            </w:r>
          </w:p>
        </w:tc>
        <w:tc>
          <w:tcPr>
            <w:tcW w:w="773" w:type="dxa"/>
            <w:vAlign w:val="center"/>
          </w:tcPr>
          <w:p w14:paraId="2C1E31E5">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c>
          <w:tcPr>
            <w:tcW w:w="819" w:type="dxa"/>
            <w:vAlign w:val="center"/>
          </w:tcPr>
          <w:p w14:paraId="1D6CDCC2">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1163" w:type="dxa"/>
            <w:vAlign w:val="center"/>
          </w:tcPr>
          <w:p w14:paraId="745DCBA6">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10</w:t>
            </w:r>
          </w:p>
        </w:tc>
      </w:tr>
      <w:tr w14:paraId="3A050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292A4A07">
            <w:pPr>
              <w:widowControl/>
              <w:spacing w:line="280" w:lineRule="exact"/>
              <w:jc w:val="left"/>
              <w:rPr>
                <w:rFonts w:hint="eastAsia" w:ascii="仿宋" w:hAnsi="仿宋" w:eastAsia="仿宋" w:cs="仿宋"/>
                <w:color w:val="000000"/>
                <w:kern w:val="0"/>
                <w:sz w:val="20"/>
                <w:szCs w:val="20"/>
              </w:rPr>
            </w:pPr>
          </w:p>
        </w:tc>
        <w:tc>
          <w:tcPr>
            <w:tcW w:w="2160" w:type="dxa"/>
            <w:gridSpan w:val="2"/>
            <w:vAlign w:val="center"/>
          </w:tcPr>
          <w:p w14:paraId="5666AAC9">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294" w:type="dxa"/>
            <w:vAlign w:val="center"/>
          </w:tcPr>
          <w:p w14:paraId="3BB2BC5C">
            <w:pPr>
              <w:widowControl/>
              <w:spacing w:line="280" w:lineRule="exact"/>
              <w:jc w:val="left"/>
              <w:rPr>
                <w:rFonts w:hint="eastAsia" w:ascii="仿宋" w:hAnsi="仿宋" w:eastAsia="仿宋" w:cs="仿宋"/>
                <w:color w:val="000000"/>
                <w:kern w:val="0"/>
                <w:sz w:val="20"/>
                <w:szCs w:val="20"/>
                <w:highlight w:val="yellow"/>
              </w:rPr>
            </w:pPr>
            <w:r>
              <w:rPr>
                <w:rFonts w:hint="eastAsia" w:ascii="仿宋" w:hAnsi="仿宋" w:eastAsia="仿宋" w:cs="仿宋"/>
                <w:color w:val="000000"/>
                <w:kern w:val="0"/>
                <w:sz w:val="20"/>
                <w:szCs w:val="20"/>
              </w:rPr>
              <w:t xml:space="preserve">　 </w:t>
            </w:r>
          </w:p>
        </w:tc>
        <w:tc>
          <w:tcPr>
            <w:tcW w:w="1235" w:type="dxa"/>
            <w:vAlign w:val="center"/>
          </w:tcPr>
          <w:p w14:paraId="52F0D902">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45</w:t>
            </w:r>
          </w:p>
        </w:tc>
        <w:tc>
          <w:tcPr>
            <w:tcW w:w="1498" w:type="dxa"/>
            <w:vAlign w:val="center"/>
          </w:tcPr>
          <w:p w14:paraId="7CC1F56B">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 xml:space="preserve"> </w:t>
            </w:r>
            <w:r>
              <w:rPr>
                <w:rFonts w:hint="eastAsia" w:ascii="仿宋" w:hAnsi="仿宋" w:eastAsia="仿宋" w:cs="仿宋"/>
                <w:color w:val="000000"/>
                <w:kern w:val="0"/>
                <w:sz w:val="20"/>
                <w:szCs w:val="20"/>
              </w:rPr>
              <w:t>45</w:t>
            </w:r>
          </w:p>
        </w:tc>
        <w:tc>
          <w:tcPr>
            <w:tcW w:w="773" w:type="dxa"/>
            <w:vAlign w:val="center"/>
          </w:tcPr>
          <w:p w14:paraId="37F105F4">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19" w:type="dxa"/>
            <w:vAlign w:val="center"/>
          </w:tcPr>
          <w:p w14:paraId="347E33B0">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63" w:type="dxa"/>
            <w:vAlign w:val="center"/>
          </w:tcPr>
          <w:p w14:paraId="6891BCC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F03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6E7CE7EA">
            <w:pPr>
              <w:widowControl/>
              <w:spacing w:line="280" w:lineRule="exact"/>
              <w:jc w:val="left"/>
              <w:rPr>
                <w:rFonts w:hint="eastAsia" w:ascii="仿宋" w:hAnsi="仿宋" w:eastAsia="仿宋" w:cs="仿宋"/>
                <w:color w:val="000000"/>
                <w:kern w:val="0"/>
                <w:sz w:val="20"/>
                <w:szCs w:val="20"/>
              </w:rPr>
            </w:pPr>
          </w:p>
        </w:tc>
        <w:tc>
          <w:tcPr>
            <w:tcW w:w="2160" w:type="dxa"/>
            <w:gridSpan w:val="2"/>
            <w:vAlign w:val="center"/>
          </w:tcPr>
          <w:p w14:paraId="48D9DCBD">
            <w:pPr>
              <w:widowControl/>
              <w:spacing w:line="280" w:lineRule="exact"/>
              <w:ind w:firstLine="600" w:firstLineChars="3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294" w:type="dxa"/>
            <w:vAlign w:val="center"/>
          </w:tcPr>
          <w:p w14:paraId="68F62BAE">
            <w:pPr>
              <w:widowControl/>
              <w:spacing w:line="280" w:lineRule="exact"/>
              <w:ind w:firstLine="200" w:firstLineChars="100"/>
              <w:jc w:val="center"/>
              <w:rPr>
                <w:rFonts w:hint="eastAsia" w:ascii="仿宋" w:hAnsi="仿宋" w:eastAsia="仿宋" w:cs="仿宋"/>
                <w:color w:val="000000"/>
                <w:kern w:val="0"/>
                <w:sz w:val="20"/>
                <w:szCs w:val="20"/>
              </w:rPr>
            </w:pPr>
          </w:p>
        </w:tc>
        <w:tc>
          <w:tcPr>
            <w:tcW w:w="1235" w:type="dxa"/>
            <w:vAlign w:val="center"/>
          </w:tcPr>
          <w:p w14:paraId="46F69710">
            <w:pPr>
              <w:widowControl/>
              <w:spacing w:line="280" w:lineRule="exact"/>
              <w:jc w:val="center"/>
              <w:rPr>
                <w:rFonts w:hint="eastAsia" w:ascii="仿宋" w:hAnsi="仿宋" w:eastAsia="仿宋" w:cs="仿宋"/>
                <w:color w:val="000000"/>
                <w:kern w:val="0"/>
                <w:sz w:val="20"/>
                <w:szCs w:val="20"/>
              </w:rPr>
            </w:pPr>
          </w:p>
        </w:tc>
        <w:tc>
          <w:tcPr>
            <w:tcW w:w="1498" w:type="dxa"/>
            <w:vAlign w:val="center"/>
          </w:tcPr>
          <w:p w14:paraId="7D0E2D61">
            <w:pPr>
              <w:widowControl/>
              <w:spacing w:line="280" w:lineRule="exact"/>
              <w:jc w:val="center"/>
              <w:rPr>
                <w:rFonts w:hint="eastAsia" w:ascii="仿宋" w:hAnsi="仿宋" w:eastAsia="仿宋" w:cs="仿宋"/>
                <w:color w:val="000000"/>
                <w:kern w:val="0"/>
                <w:sz w:val="20"/>
                <w:szCs w:val="20"/>
              </w:rPr>
            </w:pPr>
          </w:p>
        </w:tc>
        <w:tc>
          <w:tcPr>
            <w:tcW w:w="773" w:type="dxa"/>
            <w:vAlign w:val="center"/>
          </w:tcPr>
          <w:p w14:paraId="23EFEA03">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19" w:type="dxa"/>
            <w:vAlign w:val="center"/>
          </w:tcPr>
          <w:p w14:paraId="45F12DA9">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63" w:type="dxa"/>
            <w:vAlign w:val="center"/>
          </w:tcPr>
          <w:p w14:paraId="50718B8E">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38E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080" w:type="dxa"/>
            <w:vMerge w:val="continue"/>
            <w:vAlign w:val="center"/>
          </w:tcPr>
          <w:p w14:paraId="375C9C39">
            <w:pPr>
              <w:widowControl/>
              <w:spacing w:line="280" w:lineRule="exact"/>
              <w:jc w:val="left"/>
              <w:rPr>
                <w:rFonts w:hint="eastAsia" w:ascii="仿宋" w:hAnsi="仿宋" w:eastAsia="仿宋" w:cs="仿宋"/>
                <w:color w:val="000000"/>
                <w:kern w:val="0"/>
                <w:sz w:val="20"/>
                <w:szCs w:val="20"/>
              </w:rPr>
            </w:pPr>
          </w:p>
        </w:tc>
        <w:tc>
          <w:tcPr>
            <w:tcW w:w="2160" w:type="dxa"/>
            <w:gridSpan w:val="2"/>
            <w:vAlign w:val="center"/>
          </w:tcPr>
          <w:p w14:paraId="76E1F92A">
            <w:pPr>
              <w:widowControl/>
              <w:spacing w:line="280" w:lineRule="exact"/>
              <w:ind w:firstLine="600" w:firstLineChars="300"/>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294" w:type="dxa"/>
            <w:vAlign w:val="center"/>
          </w:tcPr>
          <w:p w14:paraId="5620C4E1">
            <w:pPr>
              <w:widowControl/>
              <w:spacing w:line="280" w:lineRule="exact"/>
              <w:jc w:val="center"/>
              <w:rPr>
                <w:rFonts w:hint="eastAsia" w:ascii="仿宋" w:hAnsi="仿宋" w:eastAsia="仿宋" w:cs="仿宋"/>
                <w:color w:val="000000"/>
                <w:kern w:val="0"/>
                <w:sz w:val="20"/>
                <w:szCs w:val="20"/>
              </w:rPr>
            </w:pPr>
          </w:p>
        </w:tc>
        <w:tc>
          <w:tcPr>
            <w:tcW w:w="1235" w:type="dxa"/>
            <w:vAlign w:val="center"/>
          </w:tcPr>
          <w:p w14:paraId="422DD90F">
            <w:pPr>
              <w:widowControl/>
              <w:spacing w:line="280" w:lineRule="exact"/>
              <w:jc w:val="center"/>
              <w:rPr>
                <w:rFonts w:hint="eastAsia" w:ascii="仿宋" w:hAnsi="仿宋" w:eastAsia="仿宋" w:cs="仿宋"/>
                <w:color w:val="000000"/>
                <w:kern w:val="0"/>
                <w:sz w:val="20"/>
                <w:szCs w:val="20"/>
              </w:rPr>
            </w:pPr>
          </w:p>
        </w:tc>
        <w:tc>
          <w:tcPr>
            <w:tcW w:w="1498" w:type="dxa"/>
            <w:vAlign w:val="center"/>
          </w:tcPr>
          <w:p w14:paraId="73ECEECF">
            <w:pPr>
              <w:widowControl/>
              <w:spacing w:line="280" w:lineRule="exact"/>
              <w:jc w:val="center"/>
              <w:rPr>
                <w:rFonts w:hint="eastAsia" w:ascii="仿宋" w:hAnsi="仿宋" w:eastAsia="仿宋" w:cs="仿宋"/>
                <w:color w:val="000000"/>
                <w:kern w:val="0"/>
                <w:sz w:val="20"/>
                <w:szCs w:val="20"/>
              </w:rPr>
            </w:pPr>
          </w:p>
        </w:tc>
        <w:tc>
          <w:tcPr>
            <w:tcW w:w="773" w:type="dxa"/>
            <w:vAlign w:val="center"/>
          </w:tcPr>
          <w:p w14:paraId="63927DA6">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819" w:type="dxa"/>
            <w:vAlign w:val="center"/>
          </w:tcPr>
          <w:p w14:paraId="05EB2C4A">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63" w:type="dxa"/>
            <w:vAlign w:val="center"/>
          </w:tcPr>
          <w:p w14:paraId="2A0EC456">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3276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080" w:type="dxa"/>
            <w:vMerge w:val="restart"/>
            <w:vAlign w:val="center"/>
          </w:tcPr>
          <w:p w14:paraId="6D170C0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4689" w:type="dxa"/>
            <w:gridSpan w:val="4"/>
            <w:vAlign w:val="center"/>
          </w:tcPr>
          <w:p w14:paraId="283685E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4253" w:type="dxa"/>
            <w:gridSpan w:val="4"/>
            <w:vAlign w:val="center"/>
          </w:tcPr>
          <w:p w14:paraId="4EBC8CE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44478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080" w:type="dxa"/>
            <w:vMerge w:val="continue"/>
            <w:vAlign w:val="center"/>
          </w:tcPr>
          <w:p w14:paraId="19514CF4">
            <w:pPr>
              <w:widowControl/>
              <w:spacing w:line="280" w:lineRule="exact"/>
              <w:jc w:val="left"/>
              <w:rPr>
                <w:rFonts w:hint="eastAsia" w:ascii="仿宋" w:hAnsi="仿宋" w:eastAsia="仿宋" w:cs="仿宋"/>
                <w:color w:val="000000"/>
                <w:kern w:val="0"/>
                <w:sz w:val="20"/>
                <w:szCs w:val="20"/>
              </w:rPr>
            </w:pPr>
          </w:p>
        </w:tc>
        <w:tc>
          <w:tcPr>
            <w:tcW w:w="4689" w:type="dxa"/>
            <w:gridSpan w:val="4"/>
            <w:vAlign w:val="center"/>
          </w:tcPr>
          <w:p w14:paraId="171C437A">
            <w:pPr>
              <w:rPr>
                <w:rFonts w:hint="eastAsia" w:ascii="仿宋" w:hAnsi="仿宋" w:eastAsia="仿宋" w:cs="仿宋_GB2312"/>
                <w:sz w:val="20"/>
                <w:szCs w:val="20"/>
              </w:rPr>
            </w:pPr>
            <w:r>
              <w:rPr>
                <w:rFonts w:hint="eastAsia" w:ascii="仿宋" w:hAnsi="仿宋" w:eastAsia="仿宋" w:cs="仿宋_GB2312"/>
                <w:sz w:val="20"/>
                <w:szCs w:val="20"/>
              </w:rPr>
              <w:t>（1）保障园区水电、照明、保洁、保卫等项工作正常运转；日常工作正常进行；</w:t>
            </w:r>
          </w:p>
          <w:p w14:paraId="325557E4">
            <w:pPr>
              <w:rPr>
                <w:rFonts w:hint="eastAsia" w:ascii="仿宋" w:hAnsi="仿宋" w:eastAsia="仿宋" w:cs="仿宋_GB2312"/>
                <w:sz w:val="20"/>
                <w:szCs w:val="20"/>
              </w:rPr>
            </w:pPr>
            <w:r>
              <w:rPr>
                <w:rFonts w:hint="eastAsia" w:ascii="仿宋" w:hAnsi="仿宋" w:eastAsia="仿宋" w:cs="仿宋_GB2312"/>
                <w:sz w:val="20"/>
                <w:szCs w:val="20"/>
              </w:rPr>
              <w:t>（2）实现文保、旅游、教学、科研等设施设备的及时维护；园区环境的得到进一步改善，实现美化绿化；</w:t>
            </w:r>
          </w:p>
          <w:p w14:paraId="5F01EA3B">
            <w:pPr>
              <w:rPr>
                <w:rFonts w:hint="eastAsia" w:ascii="仿宋" w:hAnsi="仿宋" w:eastAsia="仿宋" w:cs="仿宋_GB2312"/>
                <w:sz w:val="20"/>
                <w:szCs w:val="20"/>
              </w:rPr>
            </w:pPr>
            <w:r>
              <w:rPr>
                <w:rFonts w:hint="eastAsia" w:ascii="仿宋" w:hAnsi="仿宋" w:eastAsia="仿宋" w:cs="仿宋_GB2312"/>
                <w:sz w:val="20"/>
                <w:szCs w:val="20"/>
              </w:rPr>
              <w:t>（3）接待游客20万人次以上，接待机关企事业单位团体、党团组织、大中院校来园开展活动50批次以上，举办科普、文化旅游、党群教育、爱国主义教育等主题活动3场以上，隆平精神得到进一步的传承和弘扬。</w:t>
            </w:r>
          </w:p>
        </w:tc>
        <w:tc>
          <w:tcPr>
            <w:tcW w:w="4253" w:type="dxa"/>
            <w:gridSpan w:val="4"/>
            <w:vAlign w:val="center"/>
          </w:tcPr>
          <w:p w14:paraId="6783BF1C">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r>
              <w:rPr>
                <w:rFonts w:hint="eastAsia" w:ascii="仿宋" w:hAnsi="仿宋" w:eastAsia="仿宋" w:cs="仿宋_GB2312"/>
                <w:sz w:val="20"/>
                <w:szCs w:val="20"/>
              </w:rPr>
              <w:t>全面完成了年度预期目标。</w:t>
            </w:r>
          </w:p>
        </w:tc>
      </w:tr>
      <w:tr w14:paraId="483AF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vAlign w:val="center"/>
          </w:tcPr>
          <w:p w14:paraId="0646579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5399EC0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52FFC12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38A1A00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080" w:type="dxa"/>
            <w:vAlign w:val="center"/>
          </w:tcPr>
          <w:p w14:paraId="2B85027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080" w:type="dxa"/>
            <w:vAlign w:val="center"/>
          </w:tcPr>
          <w:p w14:paraId="28BD360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294" w:type="dxa"/>
            <w:vAlign w:val="center"/>
          </w:tcPr>
          <w:p w14:paraId="7DCD6780">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235" w:type="dxa"/>
            <w:vAlign w:val="center"/>
          </w:tcPr>
          <w:p w14:paraId="4C08A0F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0214338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498" w:type="dxa"/>
            <w:vAlign w:val="center"/>
          </w:tcPr>
          <w:p w14:paraId="5C093E98">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69B33FC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73" w:type="dxa"/>
            <w:vAlign w:val="center"/>
          </w:tcPr>
          <w:p w14:paraId="1CA2E873">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19" w:type="dxa"/>
            <w:vAlign w:val="center"/>
          </w:tcPr>
          <w:p w14:paraId="30BC42DE">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163" w:type="dxa"/>
            <w:vAlign w:val="center"/>
          </w:tcPr>
          <w:p w14:paraId="415E163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518808F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6ACCA74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783CF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19475AD5">
            <w:pPr>
              <w:widowControl/>
              <w:spacing w:line="280" w:lineRule="exact"/>
              <w:jc w:val="left"/>
              <w:rPr>
                <w:rFonts w:hint="eastAsia" w:ascii="仿宋" w:hAnsi="仿宋" w:eastAsia="仿宋" w:cs="仿宋"/>
                <w:color w:val="000000"/>
                <w:kern w:val="0"/>
                <w:sz w:val="20"/>
                <w:szCs w:val="20"/>
              </w:rPr>
            </w:pPr>
            <w:bookmarkStart w:id="2" w:name="_Hlk173743206"/>
          </w:p>
        </w:tc>
        <w:tc>
          <w:tcPr>
            <w:tcW w:w="1080" w:type="dxa"/>
            <w:vMerge w:val="restart"/>
            <w:vAlign w:val="center"/>
          </w:tcPr>
          <w:p w14:paraId="61745546">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46F84B9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（50分）</w:t>
            </w:r>
          </w:p>
        </w:tc>
        <w:tc>
          <w:tcPr>
            <w:tcW w:w="1080" w:type="dxa"/>
            <w:vMerge w:val="restart"/>
            <w:vAlign w:val="center"/>
          </w:tcPr>
          <w:p w14:paraId="3E791F5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294" w:type="dxa"/>
            <w:vAlign w:val="bottom"/>
          </w:tcPr>
          <w:p w14:paraId="47B563D7">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维修房屋栋数</w:t>
            </w:r>
          </w:p>
        </w:tc>
        <w:tc>
          <w:tcPr>
            <w:tcW w:w="1235" w:type="dxa"/>
            <w:vAlign w:val="bottom"/>
          </w:tcPr>
          <w:p w14:paraId="14C41144">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20处</w:t>
            </w:r>
          </w:p>
        </w:tc>
        <w:tc>
          <w:tcPr>
            <w:tcW w:w="1498" w:type="dxa"/>
            <w:vAlign w:val="center"/>
          </w:tcPr>
          <w:p w14:paraId="40D70F3B">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28处</w:t>
            </w:r>
          </w:p>
        </w:tc>
        <w:tc>
          <w:tcPr>
            <w:tcW w:w="773" w:type="dxa"/>
            <w:vAlign w:val="center"/>
          </w:tcPr>
          <w:p w14:paraId="157026C0">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5</w:t>
            </w:r>
          </w:p>
        </w:tc>
        <w:tc>
          <w:tcPr>
            <w:tcW w:w="819" w:type="dxa"/>
            <w:vAlign w:val="center"/>
          </w:tcPr>
          <w:p w14:paraId="0A8B3ED6">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5</w:t>
            </w:r>
          </w:p>
        </w:tc>
        <w:tc>
          <w:tcPr>
            <w:tcW w:w="1163" w:type="dxa"/>
            <w:vAlign w:val="center"/>
          </w:tcPr>
          <w:p w14:paraId="1AF65C3B">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14:paraId="2096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2DF11F74">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16506F66">
            <w:pPr>
              <w:widowControl/>
              <w:spacing w:line="280" w:lineRule="exact"/>
              <w:jc w:val="center"/>
              <w:rPr>
                <w:rFonts w:hint="eastAsia" w:ascii="仿宋" w:hAnsi="仿宋" w:eastAsia="仿宋" w:cs="仿宋"/>
                <w:color w:val="000000"/>
                <w:kern w:val="0"/>
                <w:sz w:val="20"/>
                <w:szCs w:val="20"/>
              </w:rPr>
            </w:pPr>
          </w:p>
        </w:tc>
        <w:tc>
          <w:tcPr>
            <w:tcW w:w="1080" w:type="dxa"/>
            <w:vMerge w:val="continue"/>
            <w:vAlign w:val="center"/>
          </w:tcPr>
          <w:p w14:paraId="26CE4FC2">
            <w:pPr>
              <w:widowControl/>
              <w:spacing w:line="280" w:lineRule="exact"/>
              <w:jc w:val="center"/>
              <w:rPr>
                <w:rFonts w:hint="eastAsia" w:ascii="仿宋" w:hAnsi="仿宋" w:eastAsia="仿宋" w:cs="仿宋"/>
                <w:color w:val="000000"/>
                <w:kern w:val="0"/>
                <w:sz w:val="20"/>
                <w:szCs w:val="20"/>
              </w:rPr>
            </w:pPr>
          </w:p>
        </w:tc>
        <w:tc>
          <w:tcPr>
            <w:tcW w:w="1294" w:type="dxa"/>
            <w:vAlign w:val="bottom"/>
          </w:tcPr>
          <w:p w14:paraId="53D685B0">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屋顶防漏处</w:t>
            </w:r>
          </w:p>
        </w:tc>
        <w:tc>
          <w:tcPr>
            <w:tcW w:w="1235" w:type="dxa"/>
            <w:vAlign w:val="bottom"/>
          </w:tcPr>
          <w:p w14:paraId="67D3A453">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19处</w:t>
            </w:r>
          </w:p>
        </w:tc>
        <w:tc>
          <w:tcPr>
            <w:tcW w:w="1498" w:type="dxa"/>
            <w:vAlign w:val="bottom"/>
          </w:tcPr>
          <w:p w14:paraId="3D53F9DD">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20处</w:t>
            </w:r>
          </w:p>
        </w:tc>
        <w:tc>
          <w:tcPr>
            <w:tcW w:w="773" w:type="dxa"/>
            <w:vAlign w:val="center"/>
          </w:tcPr>
          <w:p w14:paraId="59A57AD6">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819" w:type="dxa"/>
            <w:vAlign w:val="center"/>
          </w:tcPr>
          <w:p w14:paraId="3C663EA1">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1163" w:type="dxa"/>
            <w:vAlign w:val="center"/>
          </w:tcPr>
          <w:p w14:paraId="397D8CFE">
            <w:pPr>
              <w:widowControl/>
              <w:spacing w:line="280" w:lineRule="exact"/>
              <w:jc w:val="left"/>
              <w:rPr>
                <w:rFonts w:hint="eastAsia" w:ascii="仿宋" w:hAnsi="仿宋" w:eastAsia="仿宋" w:cs="仿宋"/>
                <w:color w:val="000000"/>
                <w:kern w:val="0"/>
                <w:sz w:val="16"/>
                <w:szCs w:val="16"/>
              </w:rPr>
            </w:pPr>
          </w:p>
        </w:tc>
      </w:tr>
      <w:tr w14:paraId="42DE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28F4FA49">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59327D43">
            <w:pPr>
              <w:widowControl/>
              <w:spacing w:line="280" w:lineRule="exact"/>
              <w:jc w:val="center"/>
              <w:rPr>
                <w:rFonts w:hint="eastAsia" w:ascii="仿宋" w:hAnsi="仿宋" w:eastAsia="仿宋" w:cs="仿宋"/>
                <w:color w:val="000000"/>
                <w:kern w:val="0"/>
                <w:sz w:val="20"/>
                <w:szCs w:val="20"/>
              </w:rPr>
            </w:pPr>
          </w:p>
        </w:tc>
        <w:tc>
          <w:tcPr>
            <w:tcW w:w="1080" w:type="dxa"/>
            <w:vMerge w:val="continue"/>
            <w:vAlign w:val="center"/>
          </w:tcPr>
          <w:p w14:paraId="00FC5CC5">
            <w:pPr>
              <w:widowControl/>
              <w:spacing w:line="280" w:lineRule="exact"/>
              <w:jc w:val="center"/>
              <w:rPr>
                <w:rFonts w:hint="eastAsia" w:ascii="仿宋" w:hAnsi="仿宋" w:eastAsia="仿宋" w:cs="仿宋"/>
                <w:color w:val="000000"/>
                <w:kern w:val="0"/>
                <w:sz w:val="20"/>
                <w:szCs w:val="20"/>
              </w:rPr>
            </w:pPr>
          </w:p>
        </w:tc>
        <w:tc>
          <w:tcPr>
            <w:tcW w:w="1294" w:type="dxa"/>
            <w:vAlign w:val="bottom"/>
          </w:tcPr>
          <w:p w14:paraId="6C7F947B">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接待游客人次</w:t>
            </w:r>
          </w:p>
        </w:tc>
        <w:tc>
          <w:tcPr>
            <w:tcW w:w="1235" w:type="dxa"/>
            <w:vAlign w:val="bottom"/>
          </w:tcPr>
          <w:p w14:paraId="7570253F">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20万人次</w:t>
            </w:r>
          </w:p>
        </w:tc>
        <w:tc>
          <w:tcPr>
            <w:tcW w:w="1498" w:type="dxa"/>
            <w:vAlign w:val="bottom"/>
          </w:tcPr>
          <w:p w14:paraId="6A51E349">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58万人次</w:t>
            </w:r>
          </w:p>
        </w:tc>
        <w:tc>
          <w:tcPr>
            <w:tcW w:w="773" w:type="dxa"/>
            <w:vAlign w:val="center"/>
          </w:tcPr>
          <w:p w14:paraId="62895C08">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819" w:type="dxa"/>
            <w:vAlign w:val="center"/>
          </w:tcPr>
          <w:p w14:paraId="4A9C8A0E">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1163" w:type="dxa"/>
            <w:vAlign w:val="center"/>
          </w:tcPr>
          <w:p w14:paraId="72690B2E">
            <w:pPr>
              <w:widowControl/>
              <w:spacing w:line="280" w:lineRule="exact"/>
              <w:jc w:val="left"/>
              <w:rPr>
                <w:rFonts w:hint="eastAsia" w:ascii="仿宋" w:hAnsi="仿宋" w:eastAsia="仿宋" w:cs="仿宋"/>
                <w:color w:val="000000"/>
                <w:kern w:val="0"/>
                <w:sz w:val="16"/>
                <w:szCs w:val="16"/>
              </w:rPr>
            </w:pPr>
          </w:p>
        </w:tc>
      </w:tr>
      <w:tr w14:paraId="48842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5BAE6C46">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4D7CA819">
            <w:pPr>
              <w:widowControl/>
              <w:spacing w:line="280" w:lineRule="exact"/>
              <w:jc w:val="center"/>
              <w:rPr>
                <w:rFonts w:hint="eastAsia" w:ascii="仿宋" w:hAnsi="仿宋" w:eastAsia="仿宋" w:cs="仿宋"/>
                <w:color w:val="000000"/>
                <w:kern w:val="0"/>
                <w:sz w:val="20"/>
                <w:szCs w:val="20"/>
              </w:rPr>
            </w:pPr>
          </w:p>
        </w:tc>
        <w:tc>
          <w:tcPr>
            <w:tcW w:w="1080" w:type="dxa"/>
            <w:vMerge w:val="continue"/>
            <w:vAlign w:val="center"/>
          </w:tcPr>
          <w:p w14:paraId="4249ABC9">
            <w:pPr>
              <w:widowControl/>
              <w:spacing w:line="280" w:lineRule="exact"/>
              <w:jc w:val="center"/>
              <w:rPr>
                <w:rFonts w:hint="eastAsia" w:ascii="仿宋" w:hAnsi="仿宋" w:eastAsia="仿宋" w:cs="仿宋"/>
                <w:color w:val="000000"/>
                <w:kern w:val="0"/>
                <w:sz w:val="20"/>
                <w:szCs w:val="20"/>
              </w:rPr>
            </w:pPr>
          </w:p>
        </w:tc>
        <w:tc>
          <w:tcPr>
            <w:tcW w:w="1294" w:type="dxa"/>
            <w:vAlign w:val="bottom"/>
          </w:tcPr>
          <w:p w14:paraId="1F501CA8">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接待研学团队个数</w:t>
            </w:r>
          </w:p>
        </w:tc>
        <w:tc>
          <w:tcPr>
            <w:tcW w:w="1235" w:type="dxa"/>
            <w:vAlign w:val="bottom"/>
          </w:tcPr>
          <w:p w14:paraId="5F681C51">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50个</w:t>
            </w:r>
          </w:p>
        </w:tc>
        <w:tc>
          <w:tcPr>
            <w:tcW w:w="1498" w:type="dxa"/>
            <w:vAlign w:val="bottom"/>
          </w:tcPr>
          <w:p w14:paraId="38132D9D">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62个</w:t>
            </w:r>
          </w:p>
        </w:tc>
        <w:tc>
          <w:tcPr>
            <w:tcW w:w="773" w:type="dxa"/>
            <w:vAlign w:val="center"/>
          </w:tcPr>
          <w:p w14:paraId="52C99FE0">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819" w:type="dxa"/>
            <w:vAlign w:val="center"/>
          </w:tcPr>
          <w:p w14:paraId="1C0724ED">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1163" w:type="dxa"/>
            <w:vAlign w:val="center"/>
          </w:tcPr>
          <w:p w14:paraId="592055B0">
            <w:pPr>
              <w:widowControl/>
              <w:spacing w:line="280" w:lineRule="exact"/>
              <w:jc w:val="left"/>
              <w:rPr>
                <w:rFonts w:hint="eastAsia" w:ascii="仿宋" w:hAnsi="仿宋" w:eastAsia="仿宋" w:cs="仿宋"/>
                <w:color w:val="000000"/>
                <w:kern w:val="0"/>
                <w:sz w:val="16"/>
                <w:szCs w:val="16"/>
              </w:rPr>
            </w:pPr>
          </w:p>
        </w:tc>
      </w:tr>
      <w:tr w14:paraId="5165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46359581">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10B5436B">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14E81346">
            <w:pPr>
              <w:widowControl/>
              <w:spacing w:line="280" w:lineRule="exact"/>
              <w:jc w:val="center"/>
              <w:rPr>
                <w:rFonts w:hint="eastAsia" w:ascii="仿宋" w:hAnsi="仿宋" w:eastAsia="仿宋" w:cs="仿宋"/>
                <w:color w:val="000000"/>
                <w:kern w:val="0"/>
                <w:sz w:val="20"/>
                <w:szCs w:val="20"/>
              </w:rPr>
            </w:pPr>
          </w:p>
        </w:tc>
        <w:tc>
          <w:tcPr>
            <w:tcW w:w="1294" w:type="dxa"/>
            <w:vAlign w:val="bottom"/>
          </w:tcPr>
          <w:p w14:paraId="26382F23">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爱国主义教育活动个数</w:t>
            </w:r>
          </w:p>
        </w:tc>
        <w:tc>
          <w:tcPr>
            <w:tcW w:w="1235" w:type="dxa"/>
            <w:vAlign w:val="bottom"/>
          </w:tcPr>
          <w:p w14:paraId="547508DC">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3个</w:t>
            </w:r>
          </w:p>
        </w:tc>
        <w:tc>
          <w:tcPr>
            <w:tcW w:w="1498" w:type="dxa"/>
            <w:vAlign w:val="bottom"/>
          </w:tcPr>
          <w:p w14:paraId="28E1D423">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6个</w:t>
            </w:r>
          </w:p>
        </w:tc>
        <w:tc>
          <w:tcPr>
            <w:tcW w:w="773" w:type="dxa"/>
            <w:vAlign w:val="center"/>
          </w:tcPr>
          <w:p w14:paraId="7A9411FC">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819" w:type="dxa"/>
            <w:vAlign w:val="center"/>
          </w:tcPr>
          <w:p w14:paraId="1D82F77F">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1163" w:type="dxa"/>
            <w:vAlign w:val="center"/>
          </w:tcPr>
          <w:p w14:paraId="445D7BDC">
            <w:pPr>
              <w:widowControl/>
              <w:spacing w:line="280" w:lineRule="exact"/>
              <w:jc w:val="left"/>
              <w:rPr>
                <w:rFonts w:hint="eastAsia" w:ascii="仿宋" w:hAnsi="仿宋" w:eastAsia="仿宋" w:cs="仿宋"/>
                <w:color w:val="000000"/>
                <w:kern w:val="0"/>
                <w:sz w:val="16"/>
                <w:szCs w:val="16"/>
              </w:rPr>
            </w:pPr>
          </w:p>
        </w:tc>
      </w:tr>
      <w:bookmarkEnd w:id="2"/>
      <w:tr w14:paraId="3D5D3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55F5D906">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539391B9">
            <w:pPr>
              <w:widowControl/>
              <w:spacing w:line="280" w:lineRule="exact"/>
              <w:jc w:val="left"/>
              <w:rPr>
                <w:rFonts w:hint="eastAsia" w:ascii="仿宋" w:hAnsi="仿宋" w:eastAsia="仿宋" w:cs="仿宋"/>
                <w:color w:val="000000"/>
                <w:kern w:val="0"/>
                <w:sz w:val="20"/>
                <w:szCs w:val="20"/>
              </w:rPr>
            </w:pPr>
          </w:p>
        </w:tc>
        <w:tc>
          <w:tcPr>
            <w:tcW w:w="1080" w:type="dxa"/>
            <w:vAlign w:val="center"/>
          </w:tcPr>
          <w:p w14:paraId="5F4A382D">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294" w:type="dxa"/>
            <w:vAlign w:val="bottom"/>
          </w:tcPr>
          <w:p w14:paraId="3D5A0B9C">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验收合格</w:t>
            </w:r>
          </w:p>
        </w:tc>
        <w:tc>
          <w:tcPr>
            <w:tcW w:w="1235" w:type="dxa"/>
            <w:vAlign w:val="bottom"/>
          </w:tcPr>
          <w:p w14:paraId="427C43C7">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通过验收</w:t>
            </w:r>
          </w:p>
        </w:tc>
        <w:tc>
          <w:tcPr>
            <w:tcW w:w="1498" w:type="dxa"/>
            <w:vAlign w:val="center"/>
          </w:tcPr>
          <w:p w14:paraId="3440F68C">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100%</w:t>
            </w:r>
          </w:p>
        </w:tc>
        <w:tc>
          <w:tcPr>
            <w:tcW w:w="773" w:type="dxa"/>
            <w:vAlign w:val="center"/>
          </w:tcPr>
          <w:p w14:paraId="3B3F16C0">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5</w:t>
            </w:r>
          </w:p>
        </w:tc>
        <w:tc>
          <w:tcPr>
            <w:tcW w:w="819" w:type="dxa"/>
            <w:vAlign w:val="center"/>
          </w:tcPr>
          <w:p w14:paraId="7E589EEF">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5</w:t>
            </w:r>
          </w:p>
        </w:tc>
        <w:tc>
          <w:tcPr>
            <w:tcW w:w="1163" w:type="dxa"/>
            <w:vAlign w:val="center"/>
          </w:tcPr>
          <w:p w14:paraId="28D63934">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14:paraId="31B9F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3BD8EB33">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0BC3DC9F">
            <w:pPr>
              <w:widowControl/>
              <w:spacing w:line="280" w:lineRule="exact"/>
              <w:jc w:val="left"/>
              <w:rPr>
                <w:rFonts w:hint="eastAsia" w:ascii="仿宋" w:hAnsi="仿宋" w:eastAsia="仿宋" w:cs="仿宋"/>
                <w:color w:val="000000"/>
                <w:kern w:val="0"/>
                <w:sz w:val="20"/>
                <w:szCs w:val="20"/>
              </w:rPr>
            </w:pPr>
          </w:p>
        </w:tc>
        <w:tc>
          <w:tcPr>
            <w:tcW w:w="1080" w:type="dxa"/>
            <w:vAlign w:val="center"/>
          </w:tcPr>
          <w:p w14:paraId="73F3721C">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20"/>
                <w:szCs w:val="20"/>
              </w:rPr>
              <w:t>时效指标</w:t>
            </w:r>
          </w:p>
        </w:tc>
        <w:tc>
          <w:tcPr>
            <w:tcW w:w="1294" w:type="dxa"/>
            <w:vAlign w:val="bottom"/>
          </w:tcPr>
          <w:p w14:paraId="5D6D9EC5">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合同履约时间</w:t>
            </w:r>
          </w:p>
        </w:tc>
        <w:tc>
          <w:tcPr>
            <w:tcW w:w="1235" w:type="dxa"/>
            <w:vAlign w:val="bottom"/>
          </w:tcPr>
          <w:p w14:paraId="5170DC7C">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合同约定时间内完成</w:t>
            </w:r>
          </w:p>
        </w:tc>
        <w:tc>
          <w:tcPr>
            <w:tcW w:w="1498" w:type="dxa"/>
            <w:vAlign w:val="center"/>
          </w:tcPr>
          <w:p w14:paraId="71C7509E">
            <w:pPr>
              <w:widowControl/>
              <w:spacing w:line="280" w:lineRule="exact"/>
              <w:ind w:firstLine="480" w:firstLineChars="3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100%</w:t>
            </w:r>
          </w:p>
        </w:tc>
        <w:tc>
          <w:tcPr>
            <w:tcW w:w="773" w:type="dxa"/>
            <w:vAlign w:val="center"/>
          </w:tcPr>
          <w:p w14:paraId="066CB9DC">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10</w:t>
            </w:r>
          </w:p>
        </w:tc>
        <w:tc>
          <w:tcPr>
            <w:tcW w:w="819" w:type="dxa"/>
            <w:vAlign w:val="center"/>
          </w:tcPr>
          <w:p w14:paraId="1422D529">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w:t>
            </w:r>
          </w:p>
        </w:tc>
        <w:tc>
          <w:tcPr>
            <w:tcW w:w="1163" w:type="dxa"/>
            <w:vAlign w:val="center"/>
          </w:tcPr>
          <w:p w14:paraId="17584E21">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14:paraId="3323F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2A7B0BE8">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4D84890A">
            <w:pPr>
              <w:widowControl/>
              <w:spacing w:line="280" w:lineRule="exact"/>
              <w:jc w:val="left"/>
              <w:rPr>
                <w:rFonts w:hint="eastAsia" w:ascii="仿宋" w:hAnsi="仿宋" w:eastAsia="仿宋" w:cs="仿宋"/>
                <w:color w:val="000000"/>
                <w:kern w:val="0"/>
                <w:sz w:val="20"/>
                <w:szCs w:val="20"/>
              </w:rPr>
            </w:pPr>
          </w:p>
        </w:tc>
        <w:tc>
          <w:tcPr>
            <w:tcW w:w="1080" w:type="dxa"/>
            <w:vAlign w:val="center"/>
          </w:tcPr>
          <w:p w14:paraId="708A2297">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294" w:type="dxa"/>
            <w:vAlign w:val="bottom"/>
          </w:tcPr>
          <w:p w14:paraId="7E5DF283">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16"/>
                <w:szCs w:val="16"/>
              </w:rPr>
              <w:t>合同约定金额</w:t>
            </w:r>
          </w:p>
        </w:tc>
        <w:tc>
          <w:tcPr>
            <w:tcW w:w="1235" w:type="dxa"/>
          </w:tcPr>
          <w:p w14:paraId="752D8EF0">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kern w:val="0"/>
                <w:sz w:val="13"/>
                <w:szCs w:val="13"/>
              </w:rPr>
              <w:t>严格按合同约定金额执行</w:t>
            </w:r>
          </w:p>
        </w:tc>
        <w:tc>
          <w:tcPr>
            <w:tcW w:w="1498" w:type="dxa"/>
            <w:vAlign w:val="center"/>
          </w:tcPr>
          <w:p w14:paraId="6FD1770F">
            <w:pPr>
              <w:widowControl/>
              <w:spacing w:line="280" w:lineRule="exact"/>
              <w:ind w:firstLine="480" w:firstLineChars="3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100%</w:t>
            </w:r>
          </w:p>
        </w:tc>
        <w:tc>
          <w:tcPr>
            <w:tcW w:w="773" w:type="dxa"/>
            <w:vAlign w:val="center"/>
          </w:tcPr>
          <w:p w14:paraId="51D16D9D">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xml:space="preserve">  10</w:t>
            </w:r>
          </w:p>
        </w:tc>
        <w:tc>
          <w:tcPr>
            <w:tcW w:w="819" w:type="dxa"/>
            <w:vAlign w:val="center"/>
          </w:tcPr>
          <w:p w14:paraId="6A6700EA">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w:t>
            </w:r>
          </w:p>
        </w:tc>
        <w:tc>
          <w:tcPr>
            <w:tcW w:w="1163" w:type="dxa"/>
            <w:vAlign w:val="center"/>
          </w:tcPr>
          <w:p w14:paraId="0C9B0BE5">
            <w:pPr>
              <w:widowControl/>
              <w:spacing w:line="280" w:lineRule="exact"/>
              <w:jc w:val="left"/>
              <w:rPr>
                <w:rFonts w:hint="eastAsia" w:ascii="仿宋" w:hAnsi="仿宋" w:eastAsia="仿宋" w:cs="仿宋"/>
                <w:color w:val="000000"/>
                <w:kern w:val="0"/>
                <w:sz w:val="16"/>
                <w:szCs w:val="16"/>
              </w:rPr>
            </w:pPr>
          </w:p>
        </w:tc>
      </w:tr>
      <w:tr w14:paraId="1C21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7D0E150B">
            <w:pPr>
              <w:widowControl/>
              <w:spacing w:line="280" w:lineRule="exact"/>
              <w:jc w:val="left"/>
              <w:rPr>
                <w:rFonts w:hint="eastAsia" w:ascii="仿宋" w:hAnsi="仿宋" w:eastAsia="仿宋" w:cs="仿宋"/>
                <w:color w:val="000000"/>
                <w:kern w:val="0"/>
                <w:sz w:val="20"/>
                <w:szCs w:val="20"/>
              </w:rPr>
            </w:pPr>
          </w:p>
        </w:tc>
        <w:tc>
          <w:tcPr>
            <w:tcW w:w="1080" w:type="dxa"/>
            <w:vMerge w:val="restart"/>
            <w:vAlign w:val="center"/>
          </w:tcPr>
          <w:p w14:paraId="204A50CB">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5E0A30B8">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080" w:type="dxa"/>
            <w:vAlign w:val="center"/>
          </w:tcPr>
          <w:p w14:paraId="47FBECC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26B7FB71">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94" w:type="dxa"/>
            <w:vAlign w:val="bottom"/>
          </w:tcPr>
          <w:p w14:paraId="7B35F3C4">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带动周边商业经济</w:t>
            </w:r>
          </w:p>
        </w:tc>
        <w:tc>
          <w:tcPr>
            <w:tcW w:w="1235" w:type="dxa"/>
            <w:vAlign w:val="bottom"/>
          </w:tcPr>
          <w:p w14:paraId="5FD59E9C">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效果明显</w:t>
            </w:r>
          </w:p>
        </w:tc>
        <w:tc>
          <w:tcPr>
            <w:tcW w:w="1498" w:type="dxa"/>
            <w:vAlign w:val="bottom"/>
          </w:tcPr>
          <w:p w14:paraId="2132C2FB">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一般</w:t>
            </w:r>
          </w:p>
        </w:tc>
        <w:tc>
          <w:tcPr>
            <w:tcW w:w="773" w:type="dxa"/>
            <w:vAlign w:val="center"/>
          </w:tcPr>
          <w:p w14:paraId="336ED7C6">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5</w:t>
            </w:r>
          </w:p>
        </w:tc>
        <w:tc>
          <w:tcPr>
            <w:tcW w:w="819" w:type="dxa"/>
            <w:vAlign w:val="center"/>
          </w:tcPr>
          <w:p w14:paraId="3E58906F">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3</w:t>
            </w:r>
          </w:p>
        </w:tc>
        <w:tc>
          <w:tcPr>
            <w:tcW w:w="1163" w:type="dxa"/>
            <w:vAlign w:val="center"/>
          </w:tcPr>
          <w:p w14:paraId="66A9D36E">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14:paraId="732AF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vAlign w:val="center"/>
          </w:tcPr>
          <w:p w14:paraId="3AE4FB3F">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7D876C16">
            <w:pPr>
              <w:widowControl/>
              <w:spacing w:line="280" w:lineRule="exact"/>
              <w:jc w:val="left"/>
              <w:rPr>
                <w:rFonts w:hint="eastAsia" w:ascii="仿宋" w:hAnsi="仿宋" w:eastAsia="仿宋" w:cs="仿宋"/>
                <w:color w:val="000000"/>
                <w:kern w:val="0"/>
                <w:sz w:val="20"/>
                <w:szCs w:val="20"/>
              </w:rPr>
            </w:pPr>
          </w:p>
        </w:tc>
        <w:tc>
          <w:tcPr>
            <w:tcW w:w="1080" w:type="dxa"/>
            <w:vAlign w:val="center"/>
          </w:tcPr>
          <w:p w14:paraId="4F4A7DC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77C829C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94" w:type="dxa"/>
            <w:vAlign w:val="center"/>
          </w:tcPr>
          <w:p w14:paraId="54F8E754">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纪念园日常维护</w:t>
            </w:r>
          </w:p>
        </w:tc>
        <w:tc>
          <w:tcPr>
            <w:tcW w:w="1235" w:type="dxa"/>
            <w:vAlign w:val="center"/>
          </w:tcPr>
          <w:p w14:paraId="6BCF688A">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效果明显</w:t>
            </w:r>
          </w:p>
        </w:tc>
        <w:tc>
          <w:tcPr>
            <w:tcW w:w="1498" w:type="dxa"/>
            <w:vAlign w:val="center"/>
          </w:tcPr>
          <w:p w14:paraId="0EEA6CF9">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显著</w:t>
            </w:r>
          </w:p>
        </w:tc>
        <w:tc>
          <w:tcPr>
            <w:tcW w:w="773" w:type="dxa"/>
            <w:vAlign w:val="center"/>
          </w:tcPr>
          <w:p w14:paraId="5263433B">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w:t>
            </w:r>
          </w:p>
        </w:tc>
        <w:tc>
          <w:tcPr>
            <w:tcW w:w="819" w:type="dxa"/>
            <w:vAlign w:val="center"/>
          </w:tcPr>
          <w:p w14:paraId="4516FFCE">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w:t>
            </w:r>
          </w:p>
        </w:tc>
        <w:tc>
          <w:tcPr>
            <w:tcW w:w="1163" w:type="dxa"/>
            <w:vAlign w:val="center"/>
          </w:tcPr>
          <w:p w14:paraId="1E6065B8">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14:paraId="548E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080" w:type="dxa"/>
            <w:vMerge w:val="continue"/>
            <w:vAlign w:val="center"/>
          </w:tcPr>
          <w:p w14:paraId="0750DAB6">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43E31DCE">
            <w:pPr>
              <w:widowControl/>
              <w:spacing w:line="280" w:lineRule="exact"/>
              <w:jc w:val="left"/>
              <w:rPr>
                <w:rFonts w:hint="eastAsia" w:ascii="仿宋" w:hAnsi="仿宋" w:eastAsia="仿宋" w:cs="仿宋"/>
                <w:color w:val="000000"/>
                <w:kern w:val="0"/>
                <w:sz w:val="20"/>
                <w:szCs w:val="20"/>
              </w:rPr>
            </w:pPr>
          </w:p>
        </w:tc>
        <w:tc>
          <w:tcPr>
            <w:tcW w:w="1080" w:type="dxa"/>
            <w:vAlign w:val="center"/>
          </w:tcPr>
          <w:p w14:paraId="7AFB4FAF">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162CE357">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294" w:type="dxa"/>
            <w:vAlign w:val="center"/>
          </w:tcPr>
          <w:p w14:paraId="531A3055">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提升园区环境风貌</w:t>
            </w:r>
          </w:p>
        </w:tc>
        <w:tc>
          <w:tcPr>
            <w:tcW w:w="1235" w:type="dxa"/>
            <w:vAlign w:val="center"/>
          </w:tcPr>
          <w:p w14:paraId="29FCF140">
            <w:pPr>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效果明显</w:t>
            </w:r>
          </w:p>
          <w:p w14:paraId="2EBD21C5">
            <w:pPr>
              <w:widowControl/>
              <w:spacing w:line="280" w:lineRule="exact"/>
              <w:ind w:firstLine="320" w:firstLineChars="200"/>
              <w:jc w:val="left"/>
              <w:rPr>
                <w:rFonts w:hint="eastAsia" w:ascii="仿宋" w:hAnsi="仿宋" w:eastAsia="仿宋" w:cs="仿宋"/>
                <w:color w:val="000000"/>
                <w:kern w:val="0"/>
                <w:sz w:val="16"/>
                <w:szCs w:val="16"/>
              </w:rPr>
            </w:pPr>
          </w:p>
        </w:tc>
        <w:tc>
          <w:tcPr>
            <w:tcW w:w="1498" w:type="dxa"/>
            <w:vAlign w:val="center"/>
          </w:tcPr>
          <w:p w14:paraId="4BE265C2">
            <w:pPr>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显著</w:t>
            </w:r>
          </w:p>
          <w:p w14:paraId="28C543D5">
            <w:pPr>
              <w:widowControl/>
              <w:spacing w:line="280" w:lineRule="exact"/>
              <w:jc w:val="center"/>
              <w:rPr>
                <w:rFonts w:hint="eastAsia" w:ascii="仿宋" w:hAnsi="仿宋" w:eastAsia="仿宋" w:cs="仿宋"/>
                <w:color w:val="000000"/>
                <w:kern w:val="0"/>
                <w:sz w:val="16"/>
                <w:szCs w:val="16"/>
              </w:rPr>
            </w:pPr>
          </w:p>
        </w:tc>
        <w:tc>
          <w:tcPr>
            <w:tcW w:w="773" w:type="dxa"/>
            <w:vAlign w:val="center"/>
          </w:tcPr>
          <w:p w14:paraId="32C7FDE0">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819" w:type="dxa"/>
            <w:vAlign w:val="center"/>
          </w:tcPr>
          <w:p w14:paraId="3D633665">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5</w:t>
            </w:r>
          </w:p>
        </w:tc>
        <w:tc>
          <w:tcPr>
            <w:tcW w:w="1163" w:type="dxa"/>
            <w:vAlign w:val="center"/>
          </w:tcPr>
          <w:p w14:paraId="222A8720">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14:paraId="5731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080" w:type="dxa"/>
            <w:vMerge w:val="continue"/>
            <w:vAlign w:val="center"/>
          </w:tcPr>
          <w:p w14:paraId="7F9927F8">
            <w:pPr>
              <w:widowControl/>
              <w:spacing w:line="280" w:lineRule="exact"/>
              <w:jc w:val="center"/>
              <w:rPr>
                <w:rFonts w:hint="eastAsia" w:ascii="仿宋" w:hAnsi="仿宋" w:eastAsia="仿宋" w:cs="仿宋"/>
                <w:color w:val="000000"/>
                <w:kern w:val="0"/>
                <w:sz w:val="20"/>
                <w:szCs w:val="20"/>
              </w:rPr>
            </w:pPr>
          </w:p>
        </w:tc>
        <w:tc>
          <w:tcPr>
            <w:tcW w:w="1080" w:type="dxa"/>
            <w:vMerge w:val="continue"/>
            <w:vAlign w:val="center"/>
          </w:tcPr>
          <w:p w14:paraId="319F5BBE">
            <w:pPr>
              <w:widowControl/>
              <w:spacing w:line="280" w:lineRule="exact"/>
              <w:jc w:val="left"/>
              <w:rPr>
                <w:rFonts w:hint="eastAsia" w:ascii="仿宋" w:hAnsi="仿宋" w:eastAsia="仿宋" w:cs="仿宋"/>
                <w:color w:val="000000"/>
                <w:kern w:val="0"/>
                <w:sz w:val="20"/>
                <w:szCs w:val="20"/>
              </w:rPr>
            </w:pPr>
          </w:p>
        </w:tc>
        <w:tc>
          <w:tcPr>
            <w:tcW w:w="1080" w:type="dxa"/>
            <w:vMerge w:val="restart"/>
            <w:vAlign w:val="center"/>
          </w:tcPr>
          <w:p w14:paraId="498F4B3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294" w:type="dxa"/>
            <w:vAlign w:val="center"/>
          </w:tcPr>
          <w:p w14:paraId="19461404">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服务地方经济</w:t>
            </w:r>
          </w:p>
        </w:tc>
        <w:tc>
          <w:tcPr>
            <w:tcW w:w="1235" w:type="dxa"/>
            <w:vAlign w:val="center"/>
          </w:tcPr>
          <w:p w14:paraId="307AA16A">
            <w:pPr>
              <w:widowControl/>
              <w:spacing w:line="280" w:lineRule="exact"/>
              <w:ind w:firstLine="320" w:firstLineChars="2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效果明显</w:t>
            </w:r>
          </w:p>
        </w:tc>
        <w:tc>
          <w:tcPr>
            <w:tcW w:w="1498" w:type="dxa"/>
            <w:vAlign w:val="center"/>
          </w:tcPr>
          <w:p w14:paraId="6B8F2FAE">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良好</w:t>
            </w:r>
          </w:p>
        </w:tc>
        <w:tc>
          <w:tcPr>
            <w:tcW w:w="773" w:type="dxa"/>
            <w:vAlign w:val="center"/>
          </w:tcPr>
          <w:p w14:paraId="6F250DAF">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5</w:t>
            </w:r>
          </w:p>
        </w:tc>
        <w:tc>
          <w:tcPr>
            <w:tcW w:w="819" w:type="dxa"/>
            <w:vAlign w:val="center"/>
          </w:tcPr>
          <w:p w14:paraId="7B8AECEE">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4</w:t>
            </w:r>
          </w:p>
        </w:tc>
        <w:tc>
          <w:tcPr>
            <w:tcW w:w="1163" w:type="dxa"/>
            <w:vAlign w:val="center"/>
          </w:tcPr>
          <w:p w14:paraId="1BB05821">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w:t>
            </w:r>
          </w:p>
        </w:tc>
      </w:tr>
      <w:tr w14:paraId="2BB0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jc w:val="center"/>
        </w:trPr>
        <w:tc>
          <w:tcPr>
            <w:tcW w:w="1080" w:type="dxa"/>
            <w:vMerge w:val="continue"/>
            <w:vAlign w:val="center"/>
          </w:tcPr>
          <w:p w14:paraId="199879B8">
            <w:pPr>
              <w:widowControl/>
              <w:spacing w:line="280" w:lineRule="exact"/>
              <w:jc w:val="center"/>
              <w:rPr>
                <w:rFonts w:hint="eastAsia" w:ascii="仿宋" w:hAnsi="仿宋" w:eastAsia="仿宋" w:cs="仿宋"/>
                <w:color w:val="000000"/>
                <w:kern w:val="0"/>
                <w:sz w:val="20"/>
                <w:szCs w:val="20"/>
              </w:rPr>
            </w:pPr>
          </w:p>
        </w:tc>
        <w:tc>
          <w:tcPr>
            <w:tcW w:w="1080" w:type="dxa"/>
            <w:vMerge w:val="continue"/>
            <w:vAlign w:val="center"/>
          </w:tcPr>
          <w:p w14:paraId="0982443D">
            <w:pPr>
              <w:widowControl/>
              <w:spacing w:line="280" w:lineRule="exact"/>
              <w:jc w:val="left"/>
              <w:rPr>
                <w:rFonts w:hint="eastAsia" w:ascii="仿宋" w:hAnsi="仿宋" w:eastAsia="仿宋" w:cs="仿宋"/>
                <w:color w:val="000000"/>
                <w:kern w:val="0"/>
                <w:sz w:val="20"/>
                <w:szCs w:val="20"/>
              </w:rPr>
            </w:pPr>
          </w:p>
        </w:tc>
        <w:tc>
          <w:tcPr>
            <w:tcW w:w="1080" w:type="dxa"/>
            <w:vMerge w:val="continue"/>
            <w:vAlign w:val="center"/>
          </w:tcPr>
          <w:p w14:paraId="65809B12">
            <w:pPr>
              <w:widowControl/>
              <w:spacing w:line="280" w:lineRule="exact"/>
              <w:jc w:val="center"/>
              <w:rPr>
                <w:rFonts w:hint="eastAsia" w:ascii="仿宋" w:hAnsi="仿宋" w:eastAsia="仿宋" w:cs="仿宋"/>
                <w:color w:val="000000"/>
                <w:kern w:val="0"/>
                <w:sz w:val="20"/>
                <w:szCs w:val="20"/>
              </w:rPr>
            </w:pPr>
          </w:p>
        </w:tc>
        <w:tc>
          <w:tcPr>
            <w:tcW w:w="1294" w:type="dxa"/>
            <w:vAlign w:val="center"/>
          </w:tcPr>
          <w:p w14:paraId="11C9E340">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提供就业岗位</w:t>
            </w:r>
          </w:p>
        </w:tc>
        <w:tc>
          <w:tcPr>
            <w:tcW w:w="1235" w:type="dxa"/>
            <w:vAlign w:val="center"/>
          </w:tcPr>
          <w:p w14:paraId="091FBC56">
            <w:pPr>
              <w:widowControl/>
              <w:spacing w:line="280" w:lineRule="exact"/>
              <w:ind w:firstLine="320" w:firstLineChars="2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效果明显</w:t>
            </w:r>
          </w:p>
        </w:tc>
        <w:tc>
          <w:tcPr>
            <w:tcW w:w="1498" w:type="dxa"/>
            <w:vAlign w:val="center"/>
          </w:tcPr>
          <w:p w14:paraId="2188D78E">
            <w:pPr>
              <w:widowControl/>
              <w:spacing w:line="280" w:lineRule="exact"/>
              <w:jc w:val="center"/>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良好</w:t>
            </w:r>
          </w:p>
        </w:tc>
        <w:tc>
          <w:tcPr>
            <w:tcW w:w="773" w:type="dxa"/>
            <w:vAlign w:val="center"/>
          </w:tcPr>
          <w:p w14:paraId="19C231CA">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 xml:space="preserve">  5</w:t>
            </w:r>
          </w:p>
        </w:tc>
        <w:tc>
          <w:tcPr>
            <w:tcW w:w="819" w:type="dxa"/>
            <w:vAlign w:val="center"/>
          </w:tcPr>
          <w:p w14:paraId="49FCC5A2">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4</w:t>
            </w:r>
          </w:p>
        </w:tc>
        <w:tc>
          <w:tcPr>
            <w:tcW w:w="1163" w:type="dxa"/>
            <w:vAlign w:val="center"/>
          </w:tcPr>
          <w:p w14:paraId="0136BAFC">
            <w:pPr>
              <w:widowControl/>
              <w:spacing w:line="280" w:lineRule="exact"/>
              <w:jc w:val="left"/>
              <w:rPr>
                <w:rFonts w:hint="eastAsia" w:ascii="仿宋" w:hAnsi="仿宋" w:eastAsia="仿宋" w:cs="仿宋"/>
                <w:color w:val="000000"/>
                <w:kern w:val="0"/>
                <w:sz w:val="16"/>
                <w:szCs w:val="16"/>
              </w:rPr>
            </w:pPr>
          </w:p>
        </w:tc>
      </w:tr>
      <w:tr w14:paraId="30D9B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80" w:type="dxa"/>
            <w:vMerge w:val="continue"/>
            <w:vAlign w:val="center"/>
          </w:tcPr>
          <w:p w14:paraId="289D4B6F">
            <w:pPr>
              <w:widowControl/>
              <w:spacing w:line="280" w:lineRule="exact"/>
              <w:jc w:val="left"/>
              <w:rPr>
                <w:rFonts w:hint="eastAsia" w:ascii="仿宋" w:hAnsi="仿宋" w:eastAsia="仿宋" w:cs="仿宋"/>
                <w:color w:val="000000"/>
                <w:kern w:val="0"/>
                <w:sz w:val="20"/>
                <w:szCs w:val="20"/>
              </w:rPr>
            </w:pPr>
          </w:p>
        </w:tc>
        <w:tc>
          <w:tcPr>
            <w:tcW w:w="1080" w:type="dxa"/>
            <w:vAlign w:val="center"/>
          </w:tcPr>
          <w:p w14:paraId="3563AF7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w:t>
            </w:r>
          </w:p>
          <w:p w14:paraId="4C4FA01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w:t>
            </w:r>
          </w:p>
          <w:p w14:paraId="25BDFBE9">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（10分）</w:t>
            </w:r>
          </w:p>
        </w:tc>
        <w:tc>
          <w:tcPr>
            <w:tcW w:w="1080" w:type="dxa"/>
            <w:vAlign w:val="center"/>
          </w:tcPr>
          <w:p w14:paraId="0475D3CB">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294" w:type="dxa"/>
            <w:vAlign w:val="center"/>
          </w:tcPr>
          <w:p w14:paraId="374AC46D">
            <w:pPr>
              <w:widowControl/>
              <w:spacing w:line="280" w:lineRule="exact"/>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使用人员满意度</w:t>
            </w:r>
          </w:p>
        </w:tc>
        <w:tc>
          <w:tcPr>
            <w:tcW w:w="1235" w:type="dxa"/>
            <w:vAlign w:val="center"/>
          </w:tcPr>
          <w:p w14:paraId="4A5E4D7B">
            <w:pPr>
              <w:widowControl/>
              <w:spacing w:line="280" w:lineRule="exact"/>
              <w:ind w:firstLine="480" w:firstLineChars="3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90%</w:t>
            </w:r>
          </w:p>
        </w:tc>
        <w:tc>
          <w:tcPr>
            <w:tcW w:w="1498" w:type="dxa"/>
            <w:vAlign w:val="center"/>
          </w:tcPr>
          <w:p w14:paraId="1ECF5741">
            <w:pPr>
              <w:widowControl/>
              <w:spacing w:line="280" w:lineRule="exact"/>
              <w:ind w:firstLine="480" w:firstLineChars="3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100%</w:t>
            </w:r>
          </w:p>
        </w:tc>
        <w:tc>
          <w:tcPr>
            <w:tcW w:w="773" w:type="dxa"/>
            <w:vAlign w:val="center"/>
          </w:tcPr>
          <w:p w14:paraId="13531DDA">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w:t>
            </w:r>
          </w:p>
        </w:tc>
        <w:tc>
          <w:tcPr>
            <w:tcW w:w="819" w:type="dxa"/>
            <w:vAlign w:val="center"/>
          </w:tcPr>
          <w:p w14:paraId="76ACE160">
            <w:pPr>
              <w:widowControl/>
              <w:spacing w:line="280" w:lineRule="exact"/>
              <w:ind w:firstLine="160" w:firstLineChars="100"/>
              <w:jc w:val="left"/>
              <w:rPr>
                <w:rFonts w:hint="eastAsia" w:ascii="仿宋" w:hAnsi="仿宋" w:eastAsia="仿宋" w:cs="仿宋"/>
                <w:color w:val="000000"/>
                <w:kern w:val="0"/>
                <w:sz w:val="16"/>
                <w:szCs w:val="16"/>
              </w:rPr>
            </w:pPr>
            <w:r>
              <w:rPr>
                <w:rFonts w:hint="eastAsia" w:ascii="仿宋" w:hAnsi="仿宋" w:eastAsia="仿宋" w:cs="仿宋"/>
                <w:color w:val="000000"/>
                <w:kern w:val="0"/>
                <w:sz w:val="16"/>
                <w:szCs w:val="16"/>
              </w:rPr>
              <w:t>10</w:t>
            </w:r>
          </w:p>
        </w:tc>
        <w:tc>
          <w:tcPr>
            <w:tcW w:w="1163" w:type="dxa"/>
            <w:vAlign w:val="center"/>
          </w:tcPr>
          <w:p w14:paraId="614F0E05">
            <w:pPr>
              <w:widowControl/>
              <w:spacing w:line="280" w:lineRule="exact"/>
              <w:jc w:val="left"/>
              <w:rPr>
                <w:rFonts w:hint="eastAsia" w:ascii="仿宋" w:hAnsi="仿宋" w:eastAsia="仿宋" w:cs="仿宋"/>
                <w:color w:val="000000"/>
                <w:kern w:val="0"/>
                <w:sz w:val="16"/>
                <w:szCs w:val="16"/>
              </w:rPr>
            </w:pPr>
          </w:p>
        </w:tc>
      </w:tr>
      <w:tr w14:paraId="1758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67" w:type="dxa"/>
            <w:gridSpan w:val="6"/>
            <w:vAlign w:val="center"/>
          </w:tcPr>
          <w:p w14:paraId="15C278EA">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总分</w:t>
            </w:r>
          </w:p>
        </w:tc>
        <w:tc>
          <w:tcPr>
            <w:tcW w:w="773" w:type="dxa"/>
            <w:vAlign w:val="center"/>
          </w:tcPr>
          <w:p w14:paraId="60A568EC">
            <w:pPr>
              <w:widowControl/>
              <w:spacing w:line="280" w:lineRule="exact"/>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19" w:type="dxa"/>
            <w:vAlign w:val="center"/>
          </w:tcPr>
          <w:p w14:paraId="44B6FD40">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96</w:t>
            </w:r>
          </w:p>
        </w:tc>
        <w:tc>
          <w:tcPr>
            <w:tcW w:w="1163" w:type="dxa"/>
            <w:vAlign w:val="center"/>
          </w:tcPr>
          <w:p w14:paraId="3B1E6015">
            <w:pPr>
              <w:widowControl/>
              <w:spacing w:line="280" w:lineRule="exact"/>
              <w:jc w:val="left"/>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bl>
    <w:p w14:paraId="49565B2F">
      <w:pPr>
        <w:spacing w:line="600" w:lineRule="exact"/>
      </w:pPr>
      <w:r>
        <w:rPr>
          <w:rFonts w:eastAsia="仿宋_GB2312"/>
          <w:color w:val="000000"/>
          <w:kern w:val="0"/>
          <w:sz w:val="24"/>
        </w:rPr>
        <w:t>填表人：</w:t>
      </w:r>
      <w:r>
        <w:rPr>
          <w:rFonts w:hint="eastAsia" w:eastAsia="仿宋_GB2312"/>
          <w:color w:val="000000"/>
          <w:kern w:val="0"/>
          <w:sz w:val="24"/>
        </w:rPr>
        <w:t xml:space="preserve">谢军   </w:t>
      </w:r>
      <w:r>
        <w:rPr>
          <w:rFonts w:eastAsia="仿宋_GB2312"/>
          <w:color w:val="000000"/>
          <w:kern w:val="0"/>
          <w:sz w:val="24"/>
        </w:rPr>
        <w:t>填报日期：</w:t>
      </w:r>
      <w:r>
        <w:rPr>
          <w:rFonts w:hint="eastAsia" w:eastAsia="仿宋_GB2312"/>
          <w:color w:val="000000"/>
          <w:kern w:val="0"/>
          <w:sz w:val="24"/>
        </w:rPr>
        <w:t xml:space="preserve"> 2024年6月30日    </w:t>
      </w:r>
      <w:r>
        <w:rPr>
          <w:rFonts w:eastAsia="仿宋_GB2312"/>
          <w:color w:val="000000"/>
          <w:kern w:val="0"/>
          <w:sz w:val="24"/>
        </w:rPr>
        <w:t xml:space="preserve"> 联系电话</w:t>
      </w:r>
      <w:r>
        <w:rPr>
          <w:rFonts w:hint="eastAsia" w:eastAsia="仿宋_GB2312"/>
          <w:color w:val="000000"/>
          <w:kern w:val="0"/>
          <w:sz w:val="24"/>
        </w:rPr>
        <w:t>13637454573</w:t>
      </w:r>
    </w:p>
    <w:p w14:paraId="1661E6F2">
      <w:pPr>
        <w:rPr>
          <w:rFonts w:hint="eastAsia" w:ascii="仿宋" w:hAnsi="仿宋" w:eastAsia="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F593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EE83021">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EE8302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F3842"/>
    <w:multiLevelType w:val="singleLevel"/>
    <w:tmpl w:val="805F3842"/>
    <w:lvl w:ilvl="0" w:tentative="0">
      <w:start w:val="2"/>
      <w:numFmt w:val="decimal"/>
      <w:suff w:val="space"/>
      <w:lvlText w:val="%1."/>
      <w:lvlJc w:val="left"/>
    </w:lvl>
  </w:abstractNum>
  <w:abstractNum w:abstractNumId="1">
    <w:nsid w:val="3F34E21B"/>
    <w:multiLevelType w:val="singleLevel"/>
    <w:tmpl w:val="3F34E21B"/>
    <w:lvl w:ilvl="0" w:tentative="0">
      <w:start w:val="1"/>
      <w:numFmt w:val="decimal"/>
      <w:suff w:val="nothing"/>
      <w:lvlText w:val="（%1）"/>
      <w:lvlJc w:val="left"/>
      <w:rPr>
        <w:rFonts w:ascii="仿宋" w:hAnsi="仿宋" w:eastAsia="仿宋" w:cstheme="minorBidi"/>
        <w:lang w:val="en-US"/>
      </w:rPr>
    </w:lvl>
  </w:abstractNum>
  <w:abstractNum w:abstractNumId="2">
    <w:nsid w:val="6FD16D25"/>
    <w:multiLevelType w:val="multilevel"/>
    <w:tmpl w:val="6FD16D25"/>
    <w:lvl w:ilvl="0" w:tentative="0">
      <w:start w:val="1"/>
      <w:numFmt w:val="decimal"/>
      <w:suff w:val="nothing"/>
      <w:lvlText w:val="（%1）"/>
      <w:lvlJc w:val="left"/>
      <w:rPr>
        <w:rFonts w:ascii="仿宋" w:hAnsi="仿宋" w:eastAsia="仿宋" w:cstheme="minorBidi"/>
        <w:lang w:val="en-US"/>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yYjM1MTNhYTRhMjAxOGJhMzcyZmQwMWM5YjBkNDcifQ=="/>
  </w:docVars>
  <w:rsids>
    <w:rsidRoot w:val="006C7E30"/>
    <w:rsid w:val="0006491C"/>
    <w:rsid w:val="000763A5"/>
    <w:rsid w:val="00086FEA"/>
    <w:rsid w:val="00087738"/>
    <w:rsid w:val="000A2400"/>
    <w:rsid w:val="000B142E"/>
    <w:rsid w:val="000B1E2F"/>
    <w:rsid w:val="000B4EE2"/>
    <w:rsid w:val="000C7DB9"/>
    <w:rsid w:val="000D5FFB"/>
    <w:rsid w:val="000E3702"/>
    <w:rsid w:val="000F41D1"/>
    <w:rsid w:val="00124397"/>
    <w:rsid w:val="00127430"/>
    <w:rsid w:val="001324D0"/>
    <w:rsid w:val="00135660"/>
    <w:rsid w:val="00156E88"/>
    <w:rsid w:val="00167503"/>
    <w:rsid w:val="0018245E"/>
    <w:rsid w:val="0018284F"/>
    <w:rsid w:val="001920E2"/>
    <w:rsid w:val="001936F2"/>
    <w:rsid w:val="001A0761"/>
    <w:rsid w:val="001A0F93"/>
    <w:rsid w:val="001A3D7E"/>
    <w:rsid w:val="001A3DAC"/>
    <w:rsid w:val="001C60EE"/>
    <w:rsid w:val="001D33EC"/>
    <w:rsid w:val="001E03E1"/>
    <w:rsid w:val="002316BF"/>
    <w:rsid w:val="00236A76"/>
    <w:rsid w:val="00242306"/>
    <w:rsid w:val="002705B8"/>
    <w:rsid w:val="00272A40"/>
    <w:rsid w:val="00291ABE"/>
    <w:rsid w:val="00293425"/>
    <w:rsid w:val="0029661A"/>
    <w:rsid w:val="002A2CC4"/>
    <w:rsid w:val="002B60A0"/>
    <w:rsid w:val="002C17FE"/>
    <w:rsid w:val="002C4554"/>
    <w:rsid w:val="002E3D25"/>
    <w:rsid w:val="002E41A7"/>
    <w:rsid w:val="00300475"/>
    <w:rsid w:val="00320EFD"/>
    <w:rsid w:val="00343FA4"/>
    <w:rsid w:val="00355AEF"/>
    <w:rsid w:val="00366A7D"/>
    <w:rsid w:val="003862E8"/>
    <w:rsid w:val="00392BDE"/>
    <w:rsid w:val="003A07DA"/>
    <w:rsid w:val="003B3888"/>
    <w:rsid w:val="003C00D4"/>
    <w:rsid w:val="003D590C"/>
    <w:rsid w:val="003F1C55"/>
    <w:rsid w:val="004060F2"/>
    <w:rsid w:val="00436128"/>
    <w:rsid w:val="00441955"/>
    <w:rsid w:val="00441DBE"/>
    <w:rsid w:val="00452F19"/>
    <w:rsid w:val="004927A2"/>
    <w:rsid w:val="00497121"/>
    <w:rsid w:val="004B0541"/>
    <w:rsid w:val="004B0986"/>
    <w:rsid w:val="004E31B2"/>
    <w:rsid w:val="004F32EA"/>
    <w:rsid w:val="004F5D33"/>
    <w:rsid w:val="004F77D3"/>
    <w:rsid w:val="005005A4"/>
    <w:rsid w:val="00501793"/>
    <w:rsid w:val="00504319"/>
    <w:rsid w:val="0051169D"/>
    <w:rsid w:val="00521378"/>
    <w:rsid w:val="00526B58"/>
    <w:rsid w:val="00555F5C"/>
    <w:rsid w:val="00584B98"/>
    <w:rsid w:val="005856A5"/>
    <w:rsid w:val="005D3A60"/>
    <w:rsid w:val="005F4A9C"/>
    <w:rsid w:val="005F5B0A"/>
    <w:rsid w:val="00611517"/>
    <w:rsid w:val="006175F6"/>
    <w:rsid w:val="0063014F"/>
    <w:rsid w:val="006371E8"/>
    <w:rsid w:val="00670458"/>
    <w:rsid w:val="0069453E"/>
    <w:rsid w:val="006B0A77"/>
    <w:rsid w:val="006C0F04"/>
    <w:rsid w:val="006C7E30"/>
    <w:rsid w:val="006D315E"/>
    <w:rsid w:val="006D449E"/>
    <w:rsid w:val="006D6B32"/>
    <w:rsid w:val="006E0BF6"/>
    <w:rsid w:val="006E197F"/>
    <w:rsid w:val="006F30EF"/>
    <w:rsid w:val="0070260D"/>
    <w:rsid w:val="00720674"/>
    <w:rsid w:val="007250BC"/>
    <w:rsid w:val="00727361"/>
    <w:rsid w:val="007407FF"/>
    <w:rsid w:val="007415BA"/>
    <w:rsid w:val="00747AE2"/>
    <w:rsid w:val="0075140A"/>
    <w:rsid w:val="00761D5F"/>
    <w:rsid w:val="00761D99"/>
    <w:rsid w:val="00767A0D"/>
    <w:rsid w:val="0077584E"/>
    <w:rsid w:val="00776F2F"/>
    <w:rsid w:val="00791D58"/>
    <w:rsid w:val="007A6E77"/>
    <w:rsid w:val="007B0FA9"/>
    <w:rsid w:val="007B28DE"/>
    <w:rsid w:val="007B4AB5"/>
    <w:rsid w:val="007C1B1D"/>
    <w:rsid w:val="007C71EB"/>
    <w:rsid w:val="007D02AA"/>
    <w:rsid w:val="007D2EC2"/>
    <w:rsid w:val="0080581A"/>
    <w:rsid w:val="00810A92"/>
    <w:rsid w:val="00812DD9"/>
    <w:rsid w:val="008157D1"/>
    <w:rsid w:val="0081767D"/>
    <w:rsid w:val="00825775"/>
    <w:rsid w:val="008511E4"/>
    <w:rsid w:val="00856E92"/>
    <w:rsid w:val="00861882"/>
    <w:rsid w:val="00863A82"/>
    <w:rsid w:val="008653D8"/>
    <w:rsid w:val="00870D9E"/>
    <w:rsid w:val="00880A4D"/>
    <w:rsid w:val="00882855"/>
    <w:rsid w:val="008835FE"/>
    <w:rsid w:val="00886A96"/>
    <w:rsid w:val="00896D27"/>
    <w:rsid w:val="008A77D2"/>
    <w:rsid w:val="008B7AF0"/>
    <w:rsid w:val="008C4851"/>
    <w:rsid w:val="008C7EE9"/>
    <w:rsid w:val="008E3D84"/>
    <w:rsid w:val="008F079E"/>
    <w:rsid w:val="009030A2"/>
    <w:rsid w:val="00906DF0"/>
    <w:rsid w:val="009127B6"/>
    <w:rsid w:val="00915243"/>
    <w:rsid w:val="00915E56"/>
    <w:rsid w:val="00920771"/>
    <w:rsid w:val="00922323"/>
    <w:rsid w:val="0092315D"/>
    <w:rsid w:val="0092553F"/>
    <w:rsid w:val="009431C6"/>
    <w:rsid w:val="00947C51"/>
    <w:rsid w:val="009863D8"/>
    <w:rsid w:val="0099501E"/>
    <w:rsid w:val="009A63CB"/>
    <w:rsid w:val="009A7C21"/>
    <w:rsid w:val="009B0B5F"/>
    <w:rsid w:val="009B6000"/>
    <w:rsid w:val="009C5644"/>
    <w:rsid w:val="009C7C58"/>
    <w:rsid w:val="009F375B"/>
    <w:rsid w:val="009F7B02"/>
    <w:rsid w:val="00A00DB9"/>
    <w:rsid w:val="00A0725F"/>
    <w:rsid w:val="00A14D40"/>
    <w:rsid w:val="00A22FAA"/>
    <w:rsid w:val="00A23636"/>
    <w:rsid w:val="00A3614C"/>
    <w:rsid w:val="00A4657F"/>
    <w:rsid w:val="00A47774"/>
    <w:rsid w:val="00A85463"/>
    <w:rsid w:val="00A93B72"/>
    <w:rsid w:val="00A955B4"/>
    <w:rsid w:val="00A97042"/>
    <w:rsid w:val="00AC46DC"/>
    <w:rsid w:val="00AC63E6"/>
    <w:rsid w:val="00AF6516"/>
    <w:rsid w:val="00B1432D"/>
    <w:rsid w:val="00B30CF4"/>
    <w:rsid w:val="00B47235"/>
    <w:rsid w:val="00B513F3"/>
    <w:rsid w:val="00B81AE8"/>
    <w:rsid w:val="00B81DA0"/>
    <w:rsid w:val="00B97016"/>
    <w:rsid w:val="00BC25EF"/>
    <w:rsid w:val="00BD1C18"/>
    <w:rsid w:val="00BE732A"/>
    <w:rsid w:val="00BF7064"/>
    <w:rsid w:val="00C04A95"/>
    <w:rsid w:val="00C17EA7"/>
    <w:rsid w:val="00C54E4E"/>
    <w:rsid w:val="00C55C57"/>
    <w:rsid w:val="00C6284C"/>
    <w:rsid w:val="00CC1953"/>
    <w:rsid w:val="00CD6368"/>
    <w:rsid w:val="00CE01C2"/>
    <w:rsid w:val="00CE1DBF"/>
    <w:rsid w:val="00CE41AB"/>
    <w:rsid w:val="00CE4FD2"/>
    <w:rsid w:val="00D11283"/>
    <w:rsid w:val="00D11EC6"/>
    <w:rsid w:val="00D14BF7"/>
    <w:rsid w:val="00D15215"/>
    <w:rsid w:val="00D161F6"/>
    <w:rsid w:val="00D54F4F"/>
    <w:rsid w:val="00D6442C"/>
    <w:rsid w:val="00D7263B"/>
    <w:rsid w:val="00D74ED9"/>
    <w:rsid w:val="00D769C0"/>
    <w:rsid w:val="00D84B07"/>
    <w:rsid w:val="00DA4286"/>
    <w:rsid w:val="00DA4549"/>
    <w:rsid w:val="00DB0116"/>
    <w:rsid w:val="00DB3B12"/>
    <w:rsid w:val="00DC4BA2"/>
    <w:rsid w:val="00DF1ADF"/>
    <w:rsid w:val="00DF29B9"/>
    <w:rsid w:val="00DF69FF"/>
    <w:rsid w:val="00E03E9F"/>
    <w:rsid w:val="00E177F4"/>
    <w:rsid w:val="00E20071"/>
    <w:rsid w:val="00E22ABF"/>
    <w:rsid w:val="00E43651"/>
    <w:rsid w:val="00E55F95"/>
    <w:rsid w:val="00E6546F"/>
    <w:rsid w:val="00E821B4"/>
    <w:rsid w:val="00E857BA"/>
    <w:rsid w:val="00E941A5"/>
    <w:rsid w:val="00E9458C"/>
    <w:rsid w:val="00EA7043"/>
    <w:rsid w:val="00ED5CF5"/>
    <w:rsid w:val="00ED7B53"/>
    <w:rsid w:val="00EE1BF7"/>
    <w:rsid w:val="00EE2A66"/>
    <w:rsid w:val="00EE3F18"/>
    <w:rsid w:val="00EF144E"/>
    <w:rsid w:val="00EF264B"/>
    <w:rsid w:val="00F053B1"/>
    <w:rsid w:val="00F13BC0"/>
    <w:rsid w:val="00F431C8"/>
    <w:rsid w:val="00F5017C"/>
    <w:rsid w:val="00F67AB7"/>
    <w:rsid w:val="00F80F41"/>
    <w:rsid w:val="00F86E59"/>
    <w:rsid w:val="00FA37F2"/>
    <w:rsid w:val="00FB003E"/>
    <w:rsid w:val="00FC104B"/>
    <w:rsid w:val="00FD0305"/>
    <w:rsid w:val="00FD406E"/>
    <w:rsid w:val="00FD7E3C"/>
    <w:rsid w:val="08564B0E"/>
    <w:rsid w:val="0CE8513B"/>
    <w:rsid w:val="197B00E4"/>
    <w:rsid w:val="1BBF1551"/>
    <w:rsid w:val="25A51F3F"/>
    <w:rsid w:val="27475541"/>
    <w:rsid w:val="2AB4113F"/>
    <w:rsid w:val="3DFA310A"/>
    <w:rsid w:val="421B33FA"/>
    <w:rsid w:val="442260B4"/>
    <w:rsid w:val="4F252C04"/>
    <w:rsid w:val="519A258E"/>
    <w:rsid w:val="63514AC3"/>
    <w:rsid w:val="6A407D20"/>
    <w:rsid w:val="79FD2E0A"/>
    <w:rsid w:val="7E0E3838"/>
    <w:rsid w:val="7EA87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link w:val="1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3"/>
    <w:uiPriority w:val="0"/>
    <w:pPr>
      <w:spacing w:line="400" w:lineRule="exact"/>
      <w:ind w:firstLine="560" w:firstLineChars="200"/>
    </w:pPr>
    <w:rPr>
      <w:rFonts w:ascii="宋体" w:hAnsi="宋体" w:eastAsia="宋体" w:cs="Times New Roman"/>
      <w:sz w:val="28"/>
      <w:szCs w:val="24"/>
    </w:rPr>
  </w:style>
  <w:style w:type="paragraph" w:styleId="4">
    <w:name w:val="Date"/>
    <w:basedOn w:val="1"/>
    <w:next w:val="1"/>
    <w:link w:val="14"/>
    <w:semiHidden/>
    <w:unhideWhenUsed/>
    <w:qFormat/>
    <w:uiPriority w:val="99"/>
    <w:pPr>
      <w:ind w:left="100" w:leftChars="25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Autospacing="1" w:afterAutospacing="1"/>
      <w:jc w:val="left"/>
    </w:pPr>
    <w:rPr>
      <w:rFonts w:cs="Times New Roman"/>
      <w:kern w:val="0"/>
      <w:sz w:val="24"/>
      <w:szCs w:val="24"/>
    </w:rPr>
  </w:style>
  <w:style w:type="character" w:customStyle="1" w:styleId="11">
    <w:name w:val="页眉 字符"/>
    <w:basedOn w:val="10"/>
    <w:link w:val="7"/>
    <w:qFormat/>
    <w:uiPriority w:val="99"/>
    <w:rPr>
      <w:sz w:val="18"/>
      <w:szCs w:val="18"/>
    </w:rPr>
  </w:style>
  <w:style w:type="character" w:customStyle="1" w:styleId="12">
    <w:name w:val="页脚 字符"/>
    <w:basedOn w:val="10"/>
    <w:link w:val="6"/>
    <w:qFormat/>
    <w:uiPriority w:val="99"/>
    <w:rPr>
      <w:sz w:val="18"/>
      <w:szCs w:val="18"/>
    </w:rPr>
  </w:style>
  <w:style w:type="character" w:customStyle="1" w:styleId="13">
    <w:name w:val="正文文本缩进 字符"/>
    <w:basedOn w:val="10"/>
    <w:link w:val="3"/>
    <w:qFormat/>
    <w:uiPriority w:val="0"/>
    <w:rPr>
      <w:rFonts w:ascii="宋体" w:hAnsi="宋体" w:eastAsia="宋体" w:cs="Times New Roman"/>
      <w:sz w:val="28"/>
      <w:szCs w:val="24"/>
    </w:rPr>
  </w:style>
  <w:style w:type="character" w:customStyle="1" w:styleId="14">
    <w:name w:val="日期 字符"/>
    <w:basedOn w:val="10"/>
    <w:link w:val="4"/>
    <w:semiHidden/>
    <w:qFormat/>
    <w:uiPriority w:val="99"/>
  </w:style>
  <w:style w:type="character" w:customStyle="1" w:styleId="15">
    <w:name w:val="批注框文本 字符"/>
    <w:basedOn w:val="10"/>
    <w:link w:val="5"/>
    <w:semiHidden/>
    <w:qFormat/>
    <w:uiPriority w:val="99"/>
    <w:rPr>
      <w:sz w:val="18"/>
      <w:szCs w:val="18"/>
    </w:rPr>
  </w:style>
  <w:style w:type="paragraph" w:styleId="16">
    <w:name w:val="List Paragraph"/>
    <w:basedOn w:val="1"/>
    <w:unhideWhenUsed/>
    <w:qFormat/>
    <w:uiPriority w:val="99"/>
    <w:pPr>
      <w:ind w:firstLine="420" w:firstLineChars="200"/>
    </w:pPr>
  </w:style>
  <w:style w:type="paragraph" w:customStyle="1" w:styleId="17">
    <w:name w:val="无间隔1"/>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 w:type="character" w:customStyle="1" w:styleId="18">
    <w:name w:val="标题 3 字符"/>
    <w:basedOn w:val="10"/>
    <w:link w:val="2"/>
    <w:qFormat/>
    <w:uiPriority w:val="9"/>
    <w:rPr>
      <w:rFonts w:ascii="宋体" w:hAnsi="宋体" w:cs="宋体"/>
      <w:b/>
      <w:bCs/>
      <w:sz w:val="27"/>
      <w:szCs w:val="2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BDA1C7-DA45-41F9-A3E8-4F03471F72F1}">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3451</Words>
  <Characters>3588</Characters>
  <Lines>28</Lines>
  <Paragraphs>8</Paragraphs>
  <TotalTime>6</TotalTime>
  <ScaleCrop>false</ScaleCrop>
  <LinksUpToDate>false</LinksUpToDate>
  <CharactersWithSpaces>3667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2019-01-07T03:17:00Z</dcterms:created>
  <dc:creator>QWE</dc:creator>
  <cp:lastModifiedBy>Babycherie</cp:lastModifiedBy>
  <cp:lastPrinted>2019-01-07T05:20:00Z</cp:lastPrinted>
  <dcterms:modified xsi:type="dcterms:W3CDTF">2024-09-18T09:59:00Z</dcterms:modified>
  <cp:revision>205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A6BD5E9BBFFC4E22B1C36112C21D08EF_13</vt:lpwstr>
  </property>
</Properties>
</file>